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pPr>
      <w:r>
        <w:rPr>
          <w:color w:val="6B645A"/>
          <w:highlight w:val="yellow"/>
        </w:rPr>
        <w:t xml:space="preserve">[Insert company logo]</w:t>
      </w:r>
    </w:p>
    <w:p>
      <w:pPr>
        <w:spacing w:after="200"/>
      </w:pPr>
      <w:r>
        <w:rPr>
          <w:b/>
          <w:bCs/>
          <w:color w:val="15120F"/>
          <w:sz w:val="56"/>
          <w:szCs w:val="56"/>
        </w:rPr>
        <w:t xml:space="preserve">AI Acceptable Use and Governance Policy</w:t>
      </w:r>
    </w:p>
    <w:p>
      <w:pPr>
        <w:spacing w:after="300"/>
      </w:pPr>
      <w:r>
        <w:rPr>
          <w:color w:val="8B1A1A"/>
          <w:sz w:val="36"/>
          <w:szCs w:val="36"/>
          <w:highlight w:val="yellow"/>
        </w:rPr>
        <w:t xml:space="preserve">[Company Name]</w:t>
      </w:r>
    </w:p>
    <w:p>
      <w:pPr>
        <w:spacing w:after="900"/>
      </w:pPr>
      <w:r>
        <w:rPr>
          <w:color w:val="6B645A"/>
          <w:sz w:val="24"/>
          <w:szCs w:val="24"/>
        </w:rPr>
        <w:t xml:space="preserve">How we use artificial intelligence tools and AI agents safely, lawfully and well.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Document control</w:t>
            </w:r>
          </w:p>
        </w:tc>
        <w:tc>
          <w:tcPr>
            <w:tcW w:type="dxa" w:w="6638"/>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p>
        </w:tc>
      </w:tr>
      <w:tr>
        <w:tc>
          <w:tcPr>
            <w:tcW w:type="dxa" w:w="30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Policy owner</w:t>
            </w:r>
          </w:p>
        </w:tc>
        <w:tc>
          <w:tcPr>
            <w:tcW w:type="dxa" w:w="66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[Name, role]</w:t>
            </w:r>
          </w:p>
        </w:tc>
      </w:tr>
      <w:tr>
        <w:tc>
          <w:tcPr>
            <w:tcW w:type="dxa" w:w="30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Approved by</w:t>
            </w:r>
          </w:p>
        </w:tc>
        <w:tc>
          <w:tcPr>
            <w:tcW w:type="dxa" w:w="66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rPr>
                <w:highlight w:val="yellow"/>
              </w:rPr>
              <w:t xml:space="preserve">[Name, role, e.g. Managing Director or Board]</w:t>
            </w:r>
          </w:p>
        </w:tc>
      </w:tr>
      <w:tr>
        <w:tc>
          <w:tcPr>
            <w:tcW w:type="dxa" w:w="30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Effective date</w:t>
            </w:r>
          </w:p>
        </w:tc>
        <w:tc>
          <w:tcPr>
            <w:tcW w:type="dxa" w:w="66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[DD Month YYYY]</w:t>
            </w:r>
          </w:p>
        </w:tc>
      </w:tr>
      <w:tr>
        <w:tc>
          <w:tcPr>
            <w:tcW w:type="dxa" w:w="30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Next review</w:t>
            </w:r>
          </w:p>
        </w:tc>
        <w:tc>
          <w:tcPr>
            <w:tcW w:type="dxa" w:w="66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rPr>
                <w:highlight w:val="yellow"/>
              </w:rPr>
              <w:t xml:space="preserve">[DD Month YYYY]</w:t>
            </w:r>
            <w:r>
              <w:t xml:space="preserve"> (at least every 12 months)</w:t>
            </w:r>
          </w:p>
        </w:tc>
      </w:tr>
      <w:tr>
        <w:tc>
          <w:tcPr>
            <w:tcW w:type="dxa" w:w="30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Version</w:t>
            </w:r>
          </w:p>
        </w:tc>
        <w:tc>
          <w:tcPr>
            <w:tcW w:type="dxa" w:w="66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[1.0]</w:t>
            </w:r>
          </w:p>
        </w:tc>
      </w:tr>
      <w:tr>
        <w:tc>
          <w:tcPr>
            <w:tcW w:type="dxa" w:w="30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Classification</w:t>
            </w:r>
          </w:p>
        </w:tc>
        <w:tc>
          <w:tcPr>
            <w:tcW w:type="dxa" w:w="66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Internal</w:t>
            </w:r>
          </w:p>
        </w:tc>
      </w:tr>
    </w:tbl>
    <w:p>
      <w:pPr>
        <w:spacing w:after="4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B1A1A" w:sz="24"/>
              <w:bottom w:val="none" w:color="FFFFFF" w:sz="0"/>
              <w:right w:val="none" w:color="FFFFFF" w:sz="0"/>
            </w:tcBorders>
            <w:shd w:fill="F4EFE4" w:color="auto" w:val="clear"/>
            <w:tcMar>
              <w:top w:type="dxa" w:w="160"/>
              <w:left w:type="dxa" w:w="240"/>
              <w:bottom w:type="dxa" w:w="140"/>
              <w:right w:type="dxa" w:w="200"/>
            </w:tcMar>
          </w:tcPr>
          <w:p>
            <w:pPr>
              <w:spacing w:after="80"/>
            </w:pPr>
            <w:r>
              <w:rPr>
                <w:b/>
                <w:bCs/>
                <w:color w:val="8B1A1A"/>
                <w:sz w:val="22"/>
                <w:szCs w:val="22"/>
              </w:rPr>
              <w:t xml:space="preserve">How to use this template (delete this box before you adopt the policy)</w:t>
            </w:r>
          </w:p>
          <w:p>
            <w:pPr>
              <w:spacing w:after="60"/>
            </w:pPr>
            <w:r>
              <w:t xml:space="preserve">1. Replace everything in </w:t>
            </w:r>
            <w:r>
              <w:rPr>
                <w:b/>
                <w:bCs/>
              </w:rPr>
              <w:t xml:space="preserve">[highlighted brackets]</w:t>
            </w:r>
            <w:r>
              <w:t xml:space="preserve"> with your own details.</w:t>
            </w:r>
          </w:p>
          <w:p>
            <w:pPr>
              <w:spacing w:after="60"/>
            </w:pPr>
            <w:r>
              <w:t xml:space="preserve">2. Fill in the approved tools list in section 5 and the AI register in Appendix A </w:t>
            </w:r>
            <w:r>
              <w:rPr>
                <w:b/>
                <w:bCs/>
              </w:rPr>
              <w:t xml:space="preserve">before</w:t>
            </w:r>
            <w:r>
              <w:t xml:space="preserve"> you launch. A policy without an approved list pushes people towards personal accounts.</w:t>
            </w:r>
          </w:p>
          <w:p>
            <w:pPr>
              <w:spacing w:after="60"/>
            </w:pPr>
            <w:r>
              <w:t xml:space="preserve">3. Clauses marked </w:t>
            </w:r>
            <w:r>
              <w:rPr>
                <w:b/>
                <w:bCs/>
              </w:rPr>
              <w:t xml:space="preserve">(Optional)</w:t>
            </w:r>
            <w:r>
              <w:t xml:space="preserve"> can be deleted if they do not fit your business. Everything else is the recommended minimum.</w:t>
            </w:r>
          </w:p>
          <w:p>
            <w:pPr>
              <w:spacing w:after="60"/>
            </w:pPr>
            <w:r>
              <w:t xml:space="preserve">4. Australian businesses: read Appendix D and swap the New Zealand references it lists.</w:t>
            </w:r>
          </w:p>
          <w:p>
            <w:pPr>
              <w:spacing w:after="60"/>
            </w:pPr>
            <w:r>
              <w:t xml:space="preserve">5. This template reflects law and guidance current at October 2026 (sources in Appendix E). It is general information, not legal advice. Have it reviewed for your circumstances, particularly if you work in a regulated sector such as law, health or financial services.</w:t>
            </w:r>
          </w:p>
        </w:tc>
      </w:tr>
    </w:tbl>
    <w:p>
      <w:r>
        <w:br w:type="page"/>
      </w:r>
    </w:p>
    <w:p>
      <w:pPr>
        <w:pStyle w:val="Heading1"/>
        <w:keepNext/>
      </w:pPr>
      <w:r>
        <w:t xml:space="preserve">The rules on one page</w:t>
      </w:r>
    </w:p>
    <w:p>
      <w:pPr>
        <w:spacing w:after="120"/>
      </w:pPr>
      <w:r>
        <w:t xml:space="preserve">This page is the short version for everyone at </w:t>
      </w:r>
      <w:r>
        <w:rPr>
          <w:highlight w:val="yellow"/>
        </w:rPr>
        <w:t xml:space="preserve">[Company Name]</w:t>
      </w:r>
      <w:r>
        <w:t xml:space="preserve">. The full policy follows and takes precedence.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00"/>
        <w:gridCol w:w="2600"/>
        <w:gridCol w:w="6538"/>
      </w:tblGrid>
      <w:tr>
        <w:trPr>
          <w:tblHeader/>
        </w:trPr>
        <w:tc>
          <w:tcPr>
            <w:tcW w:type="dxa" w:w="5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p>
        </w:tc>
        <w:tc>
          <w:tcPr>
            <w:tcW w:type="dxa" w:w="26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Rule</w:t>
            </w:r>
          </w:p>
        </w:tc>
        <w:tc>
          <w:tcPr>
            <w:tcW w:type="dxa" w:w="6538"/>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What it means</w:t>
            </w:r>
          </w:p>
        </w:tc>
      </w:tr>
      <w:tr>
        <w:tc>
          <w:tcPr>
            <w:tcW w:type="dxa" w:w="5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1</w:t>
            </w:r>
          </w:p>
        </w:tc>
        <w:tc>
          <w:tcPr>
            <w:tcW w:type="dxa" w:w="26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Use AI.</w:t>
            </w:r>
          </w:p>
        </w:tc>
        <w:tc>
          <w:tcPr>
            <w:tcW w:type="dxa" w:w="65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We want you to use AI to work better and faster, within these rules.</w:t>
            </w:r>
          </w:p>
        </w:tc>
      </w:tr>
      <w:tr>
        <w:tc>
          <w:tcPr>
            <w:tcW w:type="dxa" w:w="5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2</w:t>
            </w:r>
          </w:p>
        </w:tc>
        <w:tc>
          <w:tcPr>
            <w:tcW w:type="dxa" w:w="26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Work accounts only.</w:t>
            </w:r>
          </w:p>
        </w:tc>
        <w:tc>
          <w:tcPr>
            <w:tcW w:type="dxa" w:w="65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Use only the tools in section 5, signed in with your work account. Never put company or client information into a personal or free AI account.</w:t>
            </w:r>
          </w:p>
        </w:tc>
      </w:tr>
      <w:tr>
        <w:tc>
          <w:tcPr>
            <w:tcW w:type="dxa" w:w="5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3</w:t>
            </w:r>
          </w:p>
        </w:tc>
        <w:tc>
          <w:tcPr>
            <w:tcW w:type="dxa" w:w="26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Think before you paste.</w:t>
            </w:r>
          </w:p>
        </w:tc>
        <w:tc>
          <w:tcPr>
            <w:tcW w:type="dxa" w:w="65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Never put passwords, keys, bank or card details, or health information into any AI tool. Personal and client information goes only into tools approved for it, and only what the task needs.</w:t>
            </w:r>
          </w:p>
        </w:tc>
      </w:tr>
      <w:tr>
        <w:tc>
          <w:tcPr>
            <w:tcW w:type="dxa" w:w="5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4</w:t>
            </w:r>
          </w:p>
        </w:tc>
        <w:tc>
          <w:tcPr>
            <w:tcW w:type="dxa" w:w="26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You own the output.</w:t>
            </w:r>
          </w:p>
        </w:tc>
        <w:tc>
          <w:tcPr>
            <w:tcW w:type="dxa" w:w="65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Check facts, figures, quotes, sources, code and calculations before you rely on or send anything AI helped produce.</w:t>
            </w:r>
          </w:p>
        </w:tc>
      </w:tr>
      <w:tr>
        <w:tc>
          <w:tcPr>
            <w:tcW w:type="dxa" w:w="5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5</w:t>
            </w:r>
          </w:p>
        </w:tc>
        <w:tc>
          <w:tcPr>
            <w:tcW w:type="dxa" w:w="26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People decide about people.</w:t>
            </w:r>
          </w:p>
        </w:tc>
        <w:tc>
          <w:tcPr>
            <w:tcW w:type="dxa" w:w="65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AI must never make a decision about hiring, pay, performance, discipline, credit or a customer's eligibility on its own.</w:t>
            </w:r>
          </w:p>
        </w:tc>
      </w:tr>
      <w:tr>
        <w:tc>
          <w:tcPr>
            <w:tcW w:type="dxa" w:w="5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6</w:t>
            </w:r>
          </w:p>
        </w:tc>
        <w:tc>
          <w:tcPr>
            <w:tcW w:type="dxa" w:w="26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Be open.</w:t>
            </w:r>
          </w:p>
        </w:tc>
        <w:tc>
          <w:tcPr>
            <w:tcW w:type="dxa" w:w="65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Tell people when they are dealing with AI, and when AI materially produced something they will rely on.</w:t>
            </w:r>
          </w:p>
        </w:tc>
      </w:tr>
      <w:tr>
        <w:tc>
          <w:tcPr>
            <w:tcW w:type="dxa" w:w="5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7</w:t>
            </w:r>
          </w:p>
        </w:tc>
        <w:tc>
          <w:tcPr>
            <w:tcW w:type="dxa" w:w="26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Agents need limits.</w:t>
            </w:r>
          </w:p>
        </w:tc>
        <w:tc>
          <w:tcPr>
            <w:tcW w:type="dxa" w:w="65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AI agents get the least access they need. A person approves before an agent sends, pays, deletes or changes access.</w:t>
            </w:r>
          </w:p>
        </w:tc>
      </w:tr>
      <w:tr>
        <w:tc>
          <w:tcPr>
            <w:tcW w:type="dxa" w:w="5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8</w:t>
            </w:r>
          </w:p>
        </w:tc>
        <w:tc>
          <w:tcPr>
            <w:tcW w:type="dxa" w:w="26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Content is not a command.</w:t>
            </w:r>
          </w:p>
        </w:tc>
        <w:tc>
          <w:tcPr>
            <w:tcW w:type="dxa" w:w="65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Treat instructions hidden in emails, documents and web pages as data, never as commands for your AI tool.</w:t>
            </w:r>
          </w:p>
        </w:tc>
      </w:tr>
      <w:tr>
        <w:tc>
          <w:tcPr>
            <w:tcW w:type="dxa" w:w="5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9</w:t>
            </w:r>
          </w:p>
        </w:tc>
        <w:tc>
          <w:tcPr>
            <w:tcW w:type="dxa" w:w="26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Verify money and identity.</w:t>
            </w:r>
          </w:p>
        </w:tc>
        <w:tc>
          <w:tcPr>
            <w:tcW w:type="dxa" w:w="65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Never change bank details or make an urgent payment because of an email, call, voice message or video alone. Call back on a number we already hold.</w:t>
            </w:r>
          </w:p>
        </w:tc>
      </w:tr>
      <w:tr>
        <w:tc>
          <w:tcPr>
            <w:tcW w:type="dxa" w:w="5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10</w:t>
            </w:r>
          </w:p>
        </w:tc>
        <w:tc>
          <w:tcPr>
            <w:tcW w:type="dxa" w:w="26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Speak up early.</w:t>
            </w:r>
          </w:p>
        </w:tc>
        <w:tc>
          <w:tcPr>
            <w:tcW w:type="dxa" w:w="65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Report mistakes, leaks, odd AI behaviour or suspected deepfakes to </w:t>
            </w:r>
            <w:r>
              <w:rPr>
                <w:highlight w:val="yellow"/>
              </w:rPr>
              <w:t xml:space="preserve">[AI owner]</w:t>
            </w:r>
            <w:r>
              <w:t xml:space="preserve"> straight away. Reporting quickly in good faith will not get you into trouble.</w:t>
            </w:r>
          </w:p>
        </w:tc>
      </w:tr>
    </w:tbl>
    <w:p>
      <w:pPr>
        <w:spacing w:after="200"/>
      </w:pPr>
    </w:p>
    <w:p>
      <w:pPr>
        <w:spacing w:after="120"/>
      </w:pPr>
      <w:r>
        <w:t xml:space="preserve">Questions? Contact </w:t>
      </w:r>
      <w:r>
        <w:rPr>
          <w:highlight w:val="yellow"/>
        </w:rPr>
        <w:t xml:space="preserve">[AI owner name, email, phone]</w:t>
      </w:r>
      <w:r>
        <w:t xml:space="preserve">.</w:t>
      </w:r>
    </w:p>
    <w:p>
      <w:r>
        <w:br w:type="page"/>
      </w:r>
    </w:p>
    <w:p>
      <w:pPr>
        <w:pStyle w:val="Heading1"/>
        <w:keepNext/>
      </w:pPr>
      <w:r>
        <w:t xml:space="preserve">Contents</w:t>
      </w:r>
    </w:p>
    <w:p>
      <w:pPr>
        <w:spacing w:after="50"/>
      </w:pPr>
      <w:r>
        <w:t xml:space="preserve">1. Purpose</w:t>
      </w:r>
    </w:p>
    <w:p>
      <w:pPr>
        <w:spacing w:after="50"/>
      </w:pPr>
      <w:r>
        <w:t xml:space="preserve">2. Scope</w:t>
      </w:r>
    </w:p>
    <w:p>
      <w:pPr>
        <w:spacing w:after="50"/>
      </w:pPr>
      <w:r>
        <w:t xml:space="preserve">3. Principles</w:t>
      </w:r>
    </w:p>
    <w:p>
      <w:pPr>
        <w:spacing w:after="50"/>
      </w:pPr>
      <w:r>
        <w:t xml:space="preserve">4. Roles and responsibilities</w:t>
      </w:r>
    </w:p>
    <w:p>
      <w:pPr>
        <w:spacing w:after="50"/>
      </w:pPr>
      <w:r>
        <w:t xml:space="preserve">5. Approved AI tools</w:t>
      </w:r>
    </w:p>
    <w:p>
      <w:pPr>
        <w:spacing w:after="50"/>
      </w:pPr>
      <w:r>
        <w:t xml:space="preserve">6. What information you can put into AI</w:t>
      </w:r>
    </w:p>
    <w:p>
      <w:pPr>
        <w:spacing w:after="50"/>
      </w:pPr>
      <w:r>
        <w:t xml:space="preserve">7. Personal information and privacy</w:t>
      </w:r>
    </w:p>
    <w:p>
      <w:pPr>
        <w:spacing w:after="50"/>
      </w:pPr>
      <w:r>
        <w:t xml:space="preserve">8. Using AI output</w:t>
      </w:r>
    </w:p>
    <w:p>
      <w:pPr>
        <w:spacing w:after="50"/>
      </w:pPr>
      <w:r>
        <w:t xml:space="preserve">9. Decisions about people and other higher-risk uses</w:t>
      </w:r>
    </w:p>
    <w:p>
      <w:pPr>
        <w:spacing w:after="50"/>
      </w:pPr>
      <w:r>
        <w:t xml:space="preserve">10. AI agents, connectors and automations</w:t>
      </w:r>
    </w:p>
    <w:p>
      <w:pPr>
        <w:spacing w:after="50"/>
      </w:pPr>
      <w:r>
        <w:t xml:space="preserve">11. Security</w:t>
      </w:r>
    </w:p>
    <w:p>
      <w:pPr>
        <w:spacing w:after="50"/>
      </w:pPr>
      <w:r>
        <w:t xml:space="preserve">12. Deepfakes and impersonation fraud</w:t>
      </w:r>
    </w:p>
    <w:p>
      <w:pPr>
        <w:spacing w:after="50"/>
      </w:pPr>
      <w:r>
        <w:t xml:space="preserve">13. AI we build or sell (Optional)</w:t>
      </w:r>
    </w:p>
    <w:p>
      <w:pPr>
        <w:spacing w:after="50"/>
      </w:pPr>
      <w:r>
        <w:t xml:space="preserve">14. Choosing and reviewing AI vendors</w:t>
      </w:r>
    </w:p>
    <w:p>
      <w:pPr>
        <w:spacing w:after="50"/>
      </w:pPr>
      <w:r>
        <w:t xml:space="preserve">15. Training</w:t>
      </w:r>
    </w:p>
    <w:p>
      <w:pPr>
        <w:spacing w:after="50"/>
      </w:pPr>
      <w:r>
        <w:t xml:space="preserve">16. Incidents, breaches and concerns</w:t>
      </w:r>
    </w:p>
    <w:p>
      <w:pPr>
        <w:spacing w:after="50"/>
      </w:pPr>
      <w:r>
        <w:t xml:space="preserve">17. Compliance with this policy</w:t>
      </w:r>
    </w:p>
    <w:p>
      <w:pPr>
        <w:spacing w:after="50"/>
      </w:pPr>
      <w:r>
        <w:t xml:space="preserve">18. Review</w:t>
      </w:r>
    </w:p>
    <w:p>
      <w:pPr>
        <w:spacing w:after="50"/>
      </w:pPr>
      <w:r>
        <w:t xml:space="preserve">Appendix A: AI register</w:t>
      </w:r>
    </w:p>
    <w:p>
      <w:pPr>
        <w:spacing w:after="50"/>
      </w:pPr>
      <w:r>
        <w:t xml:space="preserve">Appendix B: AI account types at a glance (October 2026)</w:t>
      </w:r>
    </w:p>
    <w:p>
      <w:pPr>
        <w:spacing w:after="50"/>
      </w:pPr>
      <w:r>
        <w:t xml:space="preserve">Appendix C: Higher-risk use and privacy screen</w:t>
      </w:r>
    </w:p>
    <w:p>
      <w:pPr>
        <w:spacing w:after="50"/>
      </w:pPr>
      <w:r>
        <w:t xml:space="preserve">Appendix D: Australian businesses</w:t>
      </w:r>
    </w:p>
    <w:p>
      <w:pPr>
        <w:spacing w:after="50"/>
      </w:pPr>
      <w:r>
        <w:t xml:space="preserve">Appendix E: Sources and further reading</w:t>
      </w:r>
    </w:p>
    <w:p>
      <w:pPr>
        <w:spacing w:after="50"/>
      </w:pPr>
      <w:r>
        <w:t xml:space="preserve">Appendix F: Staff acknowledgement</w:t>
      </w:r>
    </w:p>
    <w:p>
      <w:r>
        <w:br w:type="page"/>
      </w:r>
    </w:p>
    <w:p>
      <w:pPr>
        <w:pStyle w:val="Heading1"/>
        <w:keepNext/>
      </w:pPr>
      <w:r>
        <w:t xml:space="preserve">1. Purpose</w:t>
      </w:r>
    </w:p>
    <w:p>
      <w:pPr>
        <w:tabs>
          <w:tab w:val="left" w:pos="567"/>
        </w:tabs>
        <w:spacing w:after="110"/>
        <w:ind w:left="567" w:hanging="567"/>
      </w:pPr>
      <w:r>
        <w:rPr>
          <w:b/>
          <w:bCs/>
          <w:color w:val="8B1A1A"/>
        </w:rPr>
        <w:t xml:space="preserve">1.1</w:t>
      </w:r>
      <w:r>
        <w:t xml:space="preserve">	</w:t>
      </w:r>
      <w:r>
        <w:t xml:space="preserve">This policy lets </w:t>
      </w:r>
      <w:r>
        <w:rPr>
          <w:highlight w:val="yellow"/>
        </w:rPr>
        <w:t xml:space="preserve">[Company Name]</w:t>
      </w:r>
      <w:r>
        <w:t xml:space="preserve"> use artificial intelligence (AI) to work better while protecting our clients, our people and our information. It sets out which AI tools we use, what information may go into them, how we check what they produce, how AI agents are controlled, and who is accountable.</w:t>
      </w:r>
    </w:p>
    <w:p>
      <w:pPr>
        <w:tabs>
          <w:tab w:val="left" w:pos="567"/>
        </w:tabs>
        <w:spacing w:after="110"/>
        <w:ind w:left="567" w:hanging="567"/>
      </w:pPr>
      <w:r>
        <w:rPr>
          <w:b/>
          <w:bCs/>
          <w:color w:val="8B1A1A"/>
        </w:rPr>
        <w:t xml:space="preserve">1.2</w:t>
      </w:r>
      <w:r>
        <w:t xml:space="preserve">	</w:t>
      </w:r>
      <w:r>
        <w:t xml:space="preserve">It reflects New Zealand law and current guidance, including the Privacy Act 2020, the Privacy Commissioner's expectations for generative AI, MBIE's Responsible AI Guidance for Businesses, and joint guidance on AI security co-authored by the National Cyber Security Centre (NCSC). Sources are listed in Appendix E.</w:t>
      </w:r>
    </w:p>
    <w:p>
      <w:pPr>
        <w:pStyle w:val="Heading1"/>
        <w:keepNext/>
      </w:pPr>
      <w:r>
        <w:t xml:space="preserve">2. Scope</w:t>
      </w:r>
    </w:p>
    <w:p>
      <w:pPr>
        <w:tabs>
          <w:tab w:val="left" w:pos="567"/>
        </w:tabs>
        <w:spacing w:after="110"/>
        <w:ind w:left="567" w:hanging="567"/>
      </w:pPr>
      <w:r>
        <w:rPr>
          <w:b/>
          <w:bCs/>
          <w:color w:val="8B1A1A"/>
        </w:rPr>
        <w:t xml:space="preserve">2.1</w:t>
      </w:r>
      <w:r>
        <w:t xml:space="preserve">	</w:t>
      </w:r>
      <w:r>
        <w:t xml:space="preserve">This policy applies to all employees, contractors, temporary staff and anyone else who works for us or uses our systems ("staff").</w:t>
      </w:r>
    </w:p>
    <w:p>
      <w:pPr>
        <w:tabs>
          <w:tab w:val="left" w:pos="567"/>
        </w:tabs>
        <w:spacing w:after="110"/>
        <w:ind w:left="567" w:hanging="567"/>
      </w:pPr>
      <w:r>
        <w:rPr>
          <w:b/>
          <w:bCs/>
          <w:color w:val="8B1A1A"/>
        </w:rPr>
        <w:t xml:space="preserve">2.2</w:t>
      </w:r>
      <w:r>
        <w:t xml:space="preserve">	</w:t>
      </w:r>
      <w:r>
        <w:t xml:space="preserve">It covers any use of AI for work, including:</w:t>
      </w:r>
    </w:p>
    <w:p>
      <w:pPr>
        <w:pStyle w:val="ListParagraph"/>
        <w:numPr>
          <w:ilvl w:val="0"/>
          <w:numId w:val="2"/>
        </w:numPr>
        <w:spacing w:after="60"/>
      </w:pPr>
      <w:r>
        <w:t xml:space="preserve">chat assistants such as Microsoft Copilot, ChatGPT, Claude and Gemini</w:t>
      </w:r>
    </w:p>
    <w:p>
      <w:pPr>
        <w:pStyle w:val="ListParagraph"/>
        <w:numPr>
          <w:ilvl w:val="0"/>
          <w:numId w:val="2"/>
        </w:numPr>
        <w:spacing w:after="60"/>
      </w:pPr>
      <w:r>
        <w:t xml:space="preserve">AI features built into software we already use, such as email, CRM, accounting, design and helpdesk tools</w:t>
      </w:r>
    </w:p>
    <w:p>
      <w:pPr>
        <w:pStyle w:val="ListParagraph"/>
        <w:numPr>
          <w:ilvl w:val="0"/>
          <w:numId w:val="2"/>
        </w:numPr>
        <w:spacing w:after="60"/>
      </w:pPr>
      <w:r>
        <w:t xml:space="preserve">meeting recorders, transcription and note-taking tools</w:t>
      </w:r>
    </w:p>
    <w:p>
      <w:pPr>
        <w:pStyle w:val="ListParagraph"/>
        <w:numPr>
          <w:ilvl w:val="0"/>
          <w:numId w:val="2"/>
        </w:numPr>
        <w:spacing w:after="60"/>
      </w:pPr>
      <w:r>
        <w:t xml:space="preserve">browser extensions and plug-ins with AI features</w:t>
      </w:r>
    </w:p>
    <w:p>
      <w:pPr>
        <w:pStyle w:val="ListParagraph"/>
        <w:numPr>
          <w:ilvl w:val="0"/>
          <w:numId w:val="2"/>
        </w:numPr>
        <w:spacing w:after="60"/>
      </w:pPr>
      <w:r>
        <w:t xml:space="preserve">AI agents: tools that can take actions for us, such as sending email, updating records, making bookings or running code</w:t>
      </w:r>
    </w:p>
    <w:p>
      <w:pPr>
        <w:pStyle w:val="ListParagraph"/>
        <w:numPr>
          <w:ilvl w:val="0"/>
          <w:numId w:val="2"/>
        </w:numPr>
        <w:spacing w:after="60"/>
      </w:pPr>
      <w:r>
        <w:t xml:space="preserve">AI we build or configure ourselves, such as custom GPTs, Copilot agents, Claude Projects and automated workflows.</w:t>
      </w:r>
    </w:p>
    <w:p>
      <w:pPr>
        <w:tabs>
          <w:tab w:val="left" w:pos="567"/>
        </w:tabs>
        <w:spacing w:after="110"/>
        <w:ind w:left="567" w:hanging="567"/>
      </w:pPr>
      <w:r>
        <w:rPr>
          <w:b/>
          <w:bCs/>
          <w:color w:val="8B1A1A"/>
        </w:rPr>
        <w:t xml:space="preserve">2.3</w:t>
      </w:r>
      <w:r>
        <w:t xml:space="preserve">	</w:t>
      </w:r>
      <w:r>
        <w:t xml:space="preserve">It applies on company and personal devices whenever company or client information is involved.</w:t>
      </w:r>
    </w:p>
    <w:p>
      <w:pPr>
        <w:pStyle w:val="Heading1"/>
        <w:keepNext/>
      </w:pPr>
      <w:r>
        <w:t xml:space="preserve">3. Principles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rPr>
          <w:tblHeader/>
        </w:trPr>
        <w:tc>
          <w:tcPr>
            <w:tcW w:type="dxa" w:w="24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Principle</w:t>
            </w:r>
          </w:p>
        </w:tc>
        <w:tc>
          <w:tcPr>
            <w:tcW w:type="dxa" w:w="7238"/>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What it means for us</w:t>
            </w:r>
          </w:p>
        </w:tc>
      </w:tr>
      <w:tr>
        <w:tc>
          <w:tcPr>
            <w:tcW w:type="dxa" w:w="24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Useful</w:t>
            </w:r>
          </w:p>
        </w:tc>
        <w:tc>
          <w:tcPr>
            <w:tcW w:type="dxa" w:w="72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We adopt AI where it saves time or improves quality, starting with low-risk tasks and expanding as we learn.</w:t>
            </w:r>
          </w:p>
        </w:tc>
      </w:tr>
      <w:tr>
        <w:tc>
          <w:tcPr>
            <w:tcW w:type="dxa" w:w="24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Accountable</w:t>
            </w:r>
          </w:p>
        </w:tc>
        <w:tc>
          <w:tcPr>
            <w:tcW w:type="dxa" w:w="72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A named person is responsible for every piece of work and every decision, whatever tool helped.</w:t>
            </w:r>
          </w:p>
        </w:tc>
      </w:tr>
      <w:tr>
        <w:tc>
          <w:tcPr>
            <w:tcW w:type="dxa" w:w="24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Private and secure</w:t>
            </w:r>
          </w:p>
        </w:tc>
        <w:tc>
          <w:tcPr>
            <w:tcW w:type="dxa" w:w="72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We treat an AI tool like any other third party that handles our information, and protect personal and confidential information accordingly.</w:t>
            </w:r>
          </w:p>
        </w:tc>
      </w:tr>
      <w:tr>
        <w:tc>
          <w:tcPr>
            <w:tcW w:type="dxa" w:w="24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Honest</w:t>
            </w:r>
          </w:p>
        </w:tc>
        <w:tc>
          <w:tcPr>
            <w:tcW w:type="dxa" w:w="72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We do not mislead anyone about what AI did, or about what our AI-enabled products and services can do.</w:t>
            </w:r>
          </w:p>
        </w:tc>
      </w:tr>
      <w:tr>
        <w:tc>
          <w:tcPr>
            <w:tcW w:type="dxa" w:w="24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Fair</w:t>
            </w:r>
          </w:p>
        </w:tc>
        <w:tc>
          <w:tcPr>
            <w:tcW w:type="dxa" w:w="72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We watch for bias, and AI does not make significant decisions about people on its own.</w:t>
            </w:r>
          </w:p>
        </w:tc>
      </w:tr>
      <w:tr>
        <w:tc>
          <w:tcPr>
            <w:tcW w:type="dxa" w:w="24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Respectful</w:t>
            </w:r>
          </w:p>
        </w:tc>
        <w:tc>
          <w:tcPr>
            <w:tcW w:type="dxa" w:w="72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We consider the interests of everyone our AI use affects, including Māori data interests where they are relevant.</w:t>
            </w:r>
          </w:p>
        </w:tc>
      </w:tr>
    </w:tbl>
    <w:p>
      <w:pPr>
        <w:pStyle w:val="Heading1"/>
        <w:keepNext/>
      </w:pPr>
      <w:r>
        <w:t xml:space="preserve">4. Roles and responsibilities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Role</w:t>
            </w:r>
          </w:p>
        </w:tc>
        <w:tc>
          <w:tcPr>
            <w:tcW w:type="dxa" w:w="6638"/>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Responsibilities</w:t>
            </w:r>
          </w:p>
        </w:tc>
      </w:tr>
      <w:tr>
        <w:tc>
          <w:tcPr>
            <w:tcW w:type="dxa" w:w="30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b/>
                <w:bCs/>
              </w:rPr>
              <w:t xml:space="preserve">AI owner</w:t>
            </w:r>
            <w:r>
              <w:t xml:space="preserve"> </w:t>
            </w:r>
            <w:r>
              <w:rPr>
                <w:highlight w:val="yellow"/>
              </w:rPr>
              <w:t xml:space="preserve">[Name, role]</w:t>
            </w:r>
          </w:p>
        </w:tc>
        <w:tc>
          <w:tcPr>
            <w:tcW w:type="dxa" w:w="66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Maintains this policy, the approved tools list and the AI register. Approves new tools and higher-risk uses. First contact for questions and incidents.</w:t>
            </w:r>
          </w:p>
        </w:tc>
      </w:tr>
      <w:tr>
        <w:tc>
          <w:tcPr>
            <w:tcW w:type="dxa" w:w="30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rPr>
                <w:b/>
                <w:bCs/>
              </w:rPr>
              <w:t xml:space="preserve">Privacy officer</w:t>
            </w:r>
            <w:r>
              <w:t xml:space="preserve"> </w:t>
            </w:r>
            <w:r>
              <w:rPr>
                <w:highlight w:val="yellow"/>
              </w:rPr>
              <w:t xml:space="preserve">[Name, role]</w:t>
            </w:r>
          </w:p>
        </w:tc>
        <w:tc>
          <w:tcPr>
            <w:tcW w:type="dxa" w:w="66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Every New Zealand organisation must have one. Advises on personal information and privacy impact assessments, and assesses and notifies privacy breaches.</w:t>
            </w:r>
          </w:p>
        </w:tc>
      </w:tr>
      <w:tr>
        <w:tc>
          <w:tcPr>
            <w:tcW w:type="dxa" w:w="30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b/>
                <w:bCs/>
              </w:rPr>
              <w:t xml:space="preserve">IT team or IT provider</w:t>
            </w:r>
            <w:r>
              <w:t xml:space="preserve"> </w:t>
            </w:r>
            <w:r>
              <w:rPr>
                <w:highlight w:val="yellow"/>
              </w:rPr>
              <w:t xml:space="preserve">[Name or provider]</w:t>
            </w:r>
          </w:p>
        </w:tc>
        <w:tc>
          <w:tcPr>
            <w:tcW w:type="dxa" w:w="66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Sets up work accounts, single sign-on and multi-factor authentication. Manages permissions, logging and data loss prevention. Blocks or disables unapproved AI tools and features where practical.</w:t>
            </w:r>
          </w:p>
        </w:tc>
      </w:tr>
      <w:tr>
        <w:tc>
          <w:tcPr>
            <w:tcW w:type="dxa" w:w="30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rPr>
                <w:b/>
                <w:bCs/>
              </w:rPr>
              <w:t xml:space="preserve">Managers</w:t>
            </w:r>
          </w:p>
        </w:tc>
        <w:tc>
          <w:tcPr>
            <w:tcW w:type="dxa" w:w="66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Make sure their teams know and follow this policy. Approve everyday use cases in their area and escalate higher-risk uses.</w:t>
            </w:r>
          </w:p>
        </w:tc>
      </w:tr>
      <w:tr>
        <w:tc>
          <w:tcPr>
            <w:tcW w:type="dxa" w:w="30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b/>
                <w:bCs/>
              </w:rPr>
              <w:t xml:space="preserve">All staff</w:t>
            </w:r>
          </w:p>
        </w:tc>
        <w:tc>
          <w:tcPr>
            <w:tcW w:type="dxa" w:w="66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Follow this policy, complete training, check AI output before relying on it, and report incidents and concerns promptly.</w:t>
            </w:r>
          </w:p>
        </w:tc>
      </w:tr>
      <w:tr>
        <w:tc>
          <w:tcPr>
            <w:tcW w:type="dxa" w:w="30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rPr>
                <w:b/>
                <w:bCs/>
              </w:rPr>
              <w:t xml:space="preserve">Senior leadership</w:t>
            </w:r>
            <w:r>
              <w:t xml:space="preserve"> </w:t>
            </w:r>
            <w:r>
              <w:rPr>
                <w:highlight w:val="yellow"/>
              </w:rPr>
              <w:t xml:space="preserve">[Directors or Board]</w:t>
            </w:r>
          </w:p>
        </w:tc>
        <w:tc>
          <w:tcPr>
            <w:tcW w:type="dxa" w:w="66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Approve this policy. Receive a report on AI use, incidents and the register at least once a year.</w:t>
            </w:r>
          </w:p>
        </w:tc>
      </w:tr>
    </w:tbl>
    <w:p>
      <w:pPr>
        <w:spacing w:after="120"/>
      </w:pPr>
    </w:p>
    <w:p>
      <w:pPr>
        <w:spacing w:after="120"/>
      </w:pPr>
      <w:r>
        <w:t xml:space="preserve">In a small business one person may hold several of these roles. That is fine, provided each one is written down.</w:t>
      </w:r>
    </w:p>
    <w:p>
      <w:pPr>
        <w:pStyle w:val="Heading1"/>
        <w:keepNext/>
      </w:pPr>
      <w:r>
        <w:t xml:space="preserve">5. Approved AI tools</w:t>
      </w:r>
    </w:p>
    <w:p>
      <w:pPr>
        <w:tabs>
          <w:tab w:val="left" w:pos="567"/>
        </w:tabs>
        <w:spacing w:after="110"/>
        <w:ind w:left="567" w:hanging="567"/>
      </w:pPr>
      <w:r>
        <w:rPr>
          <w:b/>
          <w:bCs/>
          <w:color w:val="8B1A1A"/>
        </w:rPr>
        <w:t xml:space="preserve">5.1</w:t>
      </w:r>
      <w:r>
        <w:t xml:space="preserve">	</w:t>
      </w:r>
      <w:r>
        <w:t xml:space="preserve">Use only the AI tools listed below for work, with the account type shown. The AI owner keeps this list current at </w:t>
      </w:r>
      <w:r>
        <w:rPr>
          <w:highlight w:val="yellow"/>
        </w:rPr>
        <w:t xml:space="preserve">[intranet or shared location]</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2400"/>
        <w:gridCol w:w="1900"/>
        <w:gridCol w:w="2738"/>
      </w:tblGrid>
      <w:tr>
        <w:trPr>
          <w:tblHeader/>
        </w:trPr>
        <w:tc>
          <w:tcPr>
            <w:tcW w:type="dxa" w:w="26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Tool</w:t>
            </w:r>
          </w:p>
        </w:tc>
        <w:tc>
          <w:tcPr>
            <w:tcW w:type="dxa" w:w="24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Approved account</w:t>
            </w:r>
          </w:p>
        </w:tc>
        <w:tc>
          <w:tcPr>
            <w:tcW w:type="dxa" w:w="19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Highest information class</w:t>
            </w:r>
          </w:p>
        </w:tc>
        <w:tc>
          <w:tcPr>
            <w:tcW w:type="dxa" w:w="2738"/>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Notes</w:t>
            </w:r>
          </w:p>
        </w:tc>
      </w:tr>
      <w:tr>
        <w:tc>
          <w:tcPr>
            <w:tcW w:type="dxa" w:w="26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Microsoft Copilot Chat</w:t>
            </w:r>
          </w:p>
        </w:tc>
        <w:tc>
          <w:tcPr>
            <w:tcW w:type="dxa" w:w="24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Work account (green shield visible)</w:t>
            </w:r>
          </w:p>
        </w:tc>
        <w:tc>
          <w:tcPr>
            <w:tcW w:type="dxa" w:w="19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Confidential</w:t>
            </w:r>
          </w:p>
        </w:tc>
        <w:tc>
          <w:tcPr>
            <w:tcW w:type="dxa" w:w="27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[Included with Microsoft 365]</w:t>
            </w:r>
          </w:p>
        </w:tc>
      </w:tr>
      <w:tr>
        <w:tc>
          <w:tcPr>
            <w:tcW w:type="dxa" w:w="26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Microsoft Copilot (licensed)</w:t>
            </w:r>
          </w:p>
        </w:tc>
        <w:tc>
          <w:tcPr>
            <w:tcW w:type="dxa" w:w="24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Work account</w:t>
            </w:r>
          </w:p>
        </w:tc>
        <w:tc>
          <w:tcPr>
            <w:tcW w:type="dxa" w:w="19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Confidential</w:t>
            </w:r>
          </w:p>
        </w:tc>
        <w:tc>
          <w:tcPr>
            <w:tcW w:type="dxa" w:w="27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Can search files you have access to. See 11.3</w:t>
            </w:r>
          </w:p>
        </w:tc>
      </w:tr>
      <w:tr>
        <w:tc>
          <w:tcPr>
            <w:tcW w:type="dxa" w:w="26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[ChatGPT Business or Enterprise]</w:t>
            </w:r>
          </w:p>
        </w:tc>
        <w:tc>
          <w:tcPr>
            <w:tcW w:type="dxa" w:w="24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[Company workspace]</w:t>
            </w:r>
          </w:p>
        </w:tc>
        <w:tc>
          <w:tcPr>
            <w:tcW w:type="dxa" w:w="19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[Confidential]</w:t>
            </w:r>
          </w:p>
        </w:tc>
        <w:tc>
          <w:tcPr>
            <w:tcW w:type="dxa" w:w="27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[Owner, licence count]</w:t>
            </w:r>
          </w:p>
        </w:tc>
      </w:tr>
      <w:tr>
        <w:tc>
          <w:tcPr>
            <w:tcW w:type="dxa" w:w="26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rPr>
                <w:highlight w:val="yellow"/>
              </w:rPr>
              <w:t xml:space="preserve">[Claude Team or Enterprise]</w:t>
            </w:r>
          </w:p>
        </w:tc>
        <w:tc>
          <w:tcPr>
            <w:tcW w:type="dxa" w:w="24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rPr>
                <w:highlight w:val="yellow"/>
              </w:rPr>
              <w:t xml:space="preserve">[Company workspace]</w:t>
            </w:r>
          </w:p>
        </w:tc>
        <w:tc>
          <w:tcPr>
            <w:tcW w:type="dxa" w:w="19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rPr>
                <w:highlight w:val="yellow"/>
              </w:rPr>
              <w:t xml:space="preserve">[Confidential]</w:t>
            </w:r>
          </w:p>
        </w:tc>
        <w:tc>
          <w:tcPr>
            <w:tcW w:type="dxa" w:w="27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rPr>
                <w:highlight w:val="yellow"/>
              </w:rPr>
              <w:t xml:space="preserve">[Owner, licence count]</w:t>
            </w:r>
          </w:p>
        </w:tc>
      </w:tr>
      <w:tr>
        <w:tc>
          <w:tcPr>
            <w:tcW w:type="dxa" w:w="26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[Meeting notes tool]</w:t>
            </w:r>
          </w:p>
        </w:tc>
        <w:tc>
          <w:tcPr>
            <w:tcW w:type="dxa" w:w="24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[Company account]</w:t>
            </w:r>
          </w:p>
        </w:tc>
        <w:tc>
          <w:tcPr>
            <w:tcW w:type="dxa" w:w="19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[Internal]</w:t>
            </w:r>
          </w:p>
        </w:tc>
        <w:tc>
          <w:tcPr>
            <w:tcW w:type="dxa" w:w="27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Tell participants first. See 7.6</w:t>
            </w:r>
          </w:p>
        </w:tc>
      </w:tr>
      <w:tr>
        <w:tc>
          <w:tcPr>
            <w:tcW w:type="dxa" w:w="26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rPr>
                <w:highlight w:val="yellow"/>
              </w:rPr>
              <w:t xml:space="preserve">[Other tool]</w:t>
            </w:r>
          </w:p>
        </w:tc>
        <w:tc>
          <w:tcPr>
            <w:tcW w:type="dxa" w:w="24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rPr>
                <w:highlight w:val="yellow"/>
              </w:rPr>
              <w:t xml:space="preserve">[ ]</w:t>
            </w:r>
          </w:p>
        </w:tc>
        <w:tc>
          <w:tcPr>
            <w:tcW w:type="dxa" w:w="19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rPr>
                <w:highlight w:val="yellow"/>
              </w:rPr>
              <w:t xml:space="preserve">[ ]</w:t>
            </w:r>
          </w:p>
        </w:tc>
        <w:tc>
          <w:tcPr>
            <w:tcW w:type="dxa" w:w="27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rPr>
                <w:highlight w:val="yellow"/>
              </w:rPr>
              <w:t xml:space="preserve">[ ]</w:t>
            </w:r>
          </w:p>
        </w:tc>
      </w:tr>
    </w:tbl>
    <w:p>
      <w:pPr>
        <w:spacing w:after="120"/>
      </w:pPr>
    </w:p>
    <w:p>
      <w:pPr>
        <w:tabs>
          <w:tab w:val="left" w:pos="567"/>
        </w:tabs>
        <w:spacing w:after="110"/>
        <w:ind w:left="567" w:hanging="567"/>
      </w:pPr>
      <w:r>
        <w:rPr>
          <w:b/>
          <w:bCs/>
          <w:color w:val="8B1A1A"/>
        </w:rPr>
        <w:t xml:space="preserve">5.2</w:t>
      </w:r>
      <w:r>
        <w:t xml:space="preserve">	</w:t>
      </w:r>
      <w:r>
        <w:rPr>
          <w:b/>
          <w:bCs/>
        </w:rPr>
        <w:t xml:space="preserve">Work accounts only.</w:t>
      </w:r>
      <w:r>
        <w:t xml:space="preserve"> Personal, free and consumer AI accounts must not be used with company or client information. Consumer versions of most AI tools can use your conversations to train their models and may keep them for years. Business versions do not train on your data by default and are covered by contract. Appendix B summarises each vendor's terms.</w:t>
      </w:r>
    </w:p>
    <w:p>
      <w:pPr>
        <w:tabs>
          <w:tab w:val="left" w:pos="567"/>
        </w:tabs>
        <w:spacing w:after="110"/>
        <w:ind w:left="567" w:hanging="567"/>
      </w:pPr>
      <w:r>
        <w:rPr>
          <w:b/>
          <w:bCs/>
          <w:color w:val="8B1A1A"/>
        </w:rPr>
        <w:t xml:space="preserve">5.3</w:t>
      </w:r>
      <w:r>
        <w:t xml:space="preserve">	</w:t>
      </w:r>
      <w:r>
        <w:t xml:space="preserve">Check you are signed in with your work account before you start. In Microsoft Copilot, a green shield next to New chat shows that work-account protection is on. </w:t>
      </w:r>
      <w:r>
        <w:rPr>
          <w:highlight w:val="yellow"/>
        </w:rPr>
        <w:t xml:space="preserve">[Add how to check for your other tools.]</w:t>
      </w:r>
    </w:p>
    <w:p>
      <w:pPr>
        <w:tabs>
          <w:tab w:val="left" w:pos="567"/>
        </w:tabs>
        <w:spacing w:after="110"/>
        <w:ind w:left="567" w:hanging="567"/>
      </w:pPr>
      <w:r>
        <w:rPr>
          <w:b/>
          <w:bCs/>
          <w:color w:val="8B1A1A"/>
        </w:rPr>
        <w:t xml:space="preserve">5.4</w:t>
      </w:r>
      <w:r>
        <w:t xml:space="preserve">	</w:t>
      </w:r>
      <w:r>
        <w:t xml:space="preserve">Any new AI tool, plug-in, browser extension, meeting bot, connector, or AI feature newly switched on inside existing software needs the AI owner's approval before it is used with company information. Request it through </w:t>
      </w:r>
      <w:r>
        <w:rPr>
          <w:highlight w:val="yellow"/>
        </w:rPr>
        <w:t xml:space="preserve">[process or form]</w:t>
      </w:r>
      <w:r>
        <w:t xml:space="preserve">. The AI owner checks it against section 14 and records it in the AI register (Appendix A).</w:t>
      </w:r>
    </w:p>
    <w:p>
      <w:pPr>
        <w:tabs>
          <w:tab w:val="left" w:pos="567"/>
        </w:tabs>
        <w:spacing w:after="110"/>
        <w:ind w:left="567" w:hanging="567"/>
      </w:pPr>
      <w:r>
        <w:rPr>
          <w:b/>
          <w:bCs/>
          <w:color w:val="8B1A1A"/>
        </w:rPr>
        <w:t xml:space="preserve">5.5</w:t>
      </w:r>
      <w:r>
        <w:t xml:space="preserve">	</w:t>
      </w:r>
      <w:r>
        <w:t xml:space="preserve">(Optional) Public AI tools may be used for tasks that involve only Public information (section 6), such as general research or drafting from published material, provided no company, client or personal information is entered. Delete this clause if you prefer a stricter approach.</w:t>
      </w:r>
    </w:p>
    <w:p>
      <w:pPr>
        <w:pStyle w:val="Heading1"/>
        <w:keepNext/>
      </w:pPr>
      <w:r>
        <w:t xml:space="preserve">6. What information you can put into AI</w:t>
      </w:r>
    </w:p>
    <w:p>
      <w:pPr>
        <w:tabs>
          <w:tab w:val="left" w:pos="567"/>
        </w:tabs>
        <w:spacing w:after="110"/>
        <w:ind w:left="567" w:hanging="567"/>
      </w:pPr>
      <w:r>
        <w:rPr>
          <w:b/>
          <w:bCs/>
          <w:color w:val="8B1A1A"/>
        </w:rPr>
        <w:t xml:space="preserve">6.1</w:t>
      </w:r>
      <w:r>
        <w:t xml:space="preserve">	</w:t>
      </w:r>
      <w:r>
        <w:t xml:space="preserve">Classify the information before you use it with AI. If you are unsure, treat it as the higher class.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3700"/>
        <w:gridCol w:w="2500"/>
        <w:gridCol w:w="1938"/>
      </w:tblGrid>
      <w:tr>
        <w:trPr>
          <w:tblHeader/>
        </w:trPr>
        <w:tc>
          <w:tcPr>
            <w:tcW w:type="dxa" w:w="15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Class</w:t>
            </w:r>
          </w:p>
        </w:tc>
        <w:tc>
          <w:tcPr>
            <w:tcW w:type="dxa" w:w="37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Examples</w:t>
            </w:r>
          </w:p>
        </w:tc>
        <w:tc>
          <w:tcPr>
            <w:tcW w:type="dxa" w:w="25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Approved work tools</w:t>
            </w:r>
          </w:p>
        </w:tc>
        <w:tc>
          <w:tcPr>
            <w:tcW w:type="dxa" w:w="1938"/>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Any other AI tool</w:t>
            </w:r>
          </w:p>
        </w:tc>
      </w:tr>
      <w:tr>
        <w:tc>
          <w:tcPr>
            <w:tcW w:type="dxa" w:w="15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b/>
                <w:bCs/>
              </w:rPr>
              <w:t xml:space="preserve">Public</w:t>
            </w:r>
          </w:p>
        </w:tc>
        <w:tc>
          <w:tcPr>
            <w:tcW w:type="dxa" w:w="37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Published website content, public reports, general knowledge questions</w:t>
            </w:r>
          </w:p>
        </w:tc>
        <w:tc>
          <w:tcPr>
            <w:tcW w:type="dxa" w:w="25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Yes</w:t>
            </w:r>
          </w:p>
        </w:tc>
        <w:tc>
          <w:tcPr>
            <w:tcW w:type="dxa" w:w="19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Yes</w:t>
            </w:r>
          </w:p>
        </w:tc>
      </w:tr>
      <w:tr>
        <w:tc>
          <w:tcPr>
            <w:tcW w:type="dxa" w:w="15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rPr>
                <w:b/>
                <w:bCs/>
              </w:rPr>
              <w:t xml:space="preserve">Internal</w:t>
            </w:r>
          </w:p>
        </w:tc>
        <w:tc>
          <w:tcPr>
            <w:tcW w:type="dxa" w:w="37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Internal procedures, routine emails, draft marketing, meeting notes without personal details</w:t>
            </w:r>
          </w:p>
        </w:tc>
        <w:tc>
          <w:tcPr>
            <w:tcW w:type="dxa" w:w="25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Yes</w:t>
            </w:r>
          </w:p>
        </w:tc>
        <w:tc>
          <w:tcPr>
            <w:tcW w:type="dxa" w:w="19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No</w:t>
            </w:r>
          </w:p>
        </w:tc>
      </w:tr>
      <w:tr>
        <w:tc>
          <w:tcPr>
            <w:tcW w:type="dxa" w:w="15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b/>
                <w:bCs/>
              </w:rPr>
              <w:t xml:space="preserve">Confidential</w:t>
            </w:r>
          </w:p>
        </w:tc>
        <w:tc>
          <w:tcPr>
            <w:tcW w:type="dxa" w:w="37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Client information, personal information about customers or staff, contracts, pricing, financials, unreleased plans</w:t>
            </w:r>
          </w:p>
        </w:tc>
        <w:tc>
          <w:tcPr>
            <w:tcW w:type="dxa" w:w="25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Yes, in tools approved for Confidential, and only what the task needs</w:t>
            </w:r>
          </w:p>
        </w:tc>
        <w:tc>
          <w:tcPr>
            <w:tcW w:type="dxa" w:w="19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No</w:t>
            </w:r>
          </w:p>
        </w:tc>
      </w:tr>
      <w:tr>
        <w:tc>
          <w:tcPr>
            <w:tcW w:type="dxa" w:w="15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rPr>
                <w:b/>
                <w:bCs/>
              </w:rPr>
              <w:t xml:space="preserve">Restricted</w:t>
            </w:r>
          </w:p>
        </w:tc>
        <w:tc>
          <w:tcPr>
            <w:tcW w:type="dxa" w:w="37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Passwords, API keys and MFA codes; bank and card numbers; health information; biometric data; legally privileged or suppressed material; anything a client has told us not to share; </w:t>
            </w:r>
            <w:r>
              <w:rPr>
                <w:highlight w:val="yellow"/>
              </w:rPr>
              <w:t xml:space="preserve">[other]</w:t>
            </w:r>
          </w:p>
        </w:tc>
        <w:tc>
          <w:tcPr>
            <w:tcW w:type="dxa" w:w="25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No, unless that specific use is approved in writing by the AI owner and privacy officer</w:t>
            </w:r>
          </w:p>
        </w:tc>
        <w:tc>
          <w:tcPr>
            <w:tcW w:type="dxa" w:w="19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Never</w:t>
            </w:r>
          </w:p>
        </w:tc>
      </w:tr>
    </w:tbl>
    <w:p>
      <w:pPr>
        <w:spacing w:after="120"/>
      </w:pPr>
    </w:p>
    <w:p>
      <w:pPr>
        <w:tabs>
          <w:tab w:val="left" w:pos="567"/>
        </w:tabs>
        <w:spacing w:after="110"/>
        <w:ind w:left="567" w:hanging="567"/>
      </w:pPr>
      <w:r>
        <w:rPr>
          <w:b/>
          <w:bCs/>
          <w:color w:val="8B1A1A"/>
        </w:rPr>
        <w:t xml:space="preserve">6.2</w:t>
      </w:r>
      <w:r>
        <w:t xml:space="preserve">	</w:t>
      </w:r>
      <w:r>
        <w:t xml:space="preserve">Use the minimum. Remove names and identifying details where the task does not need them.</w:t>
      </w:r>
    </w:p>
    <w:p>
      <w:pPr>
        <w:tabs>
          <w:tab w:val="left" w:pos="567"/>
        </w:tabs>
        <w:spacing w:after="110"/>
        <w:ind w:left="567" w:hanging="567"/>
      </w:pPr>
      <w:r>
        <w:rPr>
          <w:b/>
          <w:bCs/>
          <w:color w:val="8B1A1A"/>
        </w:rPr>
        <w:t xml:space="preserve">6.3</w:t>
      </w:r>
      <w:r>
        <w:t xml:space="preserve">	</w:t>
      </w:r>
      <w:r>
        <w:t xml:space="preserve">Client contracts come first. If a client agreement restricts AI use or offshore processing of their information, follow the agreement, and record the restriction in the AI register.</w:t>
      </w:r>
    </w:p>
    <w:p>
      <w:pPr>
        <w:tabs>
          <w:tab w:val="left" w:pos="567"/>
        </w:tabs>
        <w:spacing w:after="110"/>
        <w:ind w:left="567" w:hanging="567"/>
      </w:pPr>
      <w:r>
        <w:rPr>
          <w:b/>
          <w:bCs/>
          <w:color w:val="8B1A1A"/>
        </w:rPr>
        <w:t xml:space="preserve">6.4</w:t>
      </w:r>
      <w:r>
        <w:t xml:space="preserve">	</w:t>
      </w:r>
      <w:r>
        <w:t xml:space="preserve">Most AI tools process information outside New Zealand, usually in the United States, Europe or Australia. None of the major AI vendors currently offers processing in New Zealand. Sending personal information to an overseas provider must comply with the Privacy Act 2020 (including information privacy principle 12 where it applies) and our privacy statement. Approved tools have been checked for this; other tools have not.</w:t>
      </w:r>
    </w:p>
    <w:p>
      <w:pPr>
        <w:pStyle w:val="Heading1"/>
        <w:keepNext/>
      </w:pPr>
      <w:r>
        <w:t xml:space="preserve">7. Personal information and privacy</w:t>
      </w:r>
    </w:p>
    <w:p>
      <w:pPr>
        <w:tabs>
          <w:tab w:val="left" w:pos="567"/>
        </w:tabs>
        <w:spacing w:after="110"/>
        <w:ind w:left="567" w:hanging="567"/>
      </w:pPr>
      <w:r>
        <w:rPr>
          <w:b/>
          <w:bCs/>
          <w:color w:val="8B1A1A"/>
        </w:rPr>
        <w:t xml:space="preserve">7.1</w:t>
      </w:r>
      <w:r>
        <w:t xml:space="preserve">	</w:t>
      </w:r>
      <w:r>
        <w:t xml:space="preserve">The Privacy Act 2020 applies to personal information we put into AI tools and to information AI produces about people. Information that AI generates or infers about an identifiable person is personal information.</w:t>
      </w:r>
    </w:p>
    <w:p>
      <w:pPr>
        <w:tabs>
          <w:tab w:val="left" w:pos="567"/>
        </w:tabs>
        <w:spacing w:after="110"/>
        <w:ind w:left="567" w:hanging="567"/>
      </w:pPr>
      <w:r>
        <w:rPr>
          <w:b/>
          <w:bCs/>
          <w:color w:val="8B1A1A"/>
        </w:rPr>
        <w:t xml:space="preserve">7.2</w:t>
      </w:r>
      <w:r>
        <w:t xml:space="preserve">	</w:t>
      </w:r>
      <w:r>
        <w:t xml:space="preserve">Before any new use of AI that involves personal information, such as analysing customer records, summarising staff matters or launching a customer-facing chatbot, the AI owner and privacy officer complete a privacy impact assessment using Appendix C. The Privacy Commissioner expects one, and expects senior leadership to approve the use.</w:t>
      </w:r>
    </w:p>
    <w:p>
      <w:pPr>
        <w:tabs>
          <w:tab w:val="left" w:pos="567"/>
        </w:tabs>
        <w:spacing w:after="110"/>
        <w:ind w:left="567" w:hanging="567"/>
      </w:pPr>
      <w:r>
        <w:rPr>
          <w:b/>
          <w:bCs/>
          <w:color w:val="8B1A1A"/>
        </w:rPr>
        <w:t xml:space="preserve">7.3</w:t>
      </w:r>
      <w:r>
        <w:t xml:space="preserve">	</w:t>
      </w:r>
      <w:r>
        <w:rPr>
          <w:b/>
          <w:bCs/>
        </w:rPr>
        <w:t xml:space="preserve">Accuracy.</w:t>
      </w:r>
      <w:r>
        <w:t xml:space="preserve"> Check AI-generated information about a person is accurate before you use or record it. AI can invent plausible but false details.</w:t>
      </w:r>
    </w:p>
    <w:p>
      <w:pPr>
        <w:tabs>
          <w:tab w:val="left" w:pos="567"/>
        </w:tabs>
        <w:spacing w:after="110"/>
        <w:ind w:left="567" w:hanging="567"/>
      </w:pPr>
      <w:r>
        <w:rPr>
          <w:b/>
          <w:bCs/>
          <w:color w:val="8B1A1A"/>
        </w:rPr>
        <w:t xml:space="preserve">7.4</w:t>
      </w:r>
      <w:r>
        <w:t xml:space="preserve">	</w:t>
      </w:r>
      <w:r>
        <w:rPr>
          <w:b/>
          <w:bCs/>
        </w:rPr>
        <w:t xml:space="preserve">Collecting information about people from other sources (IPP 3A).</w:t>
      </w:r>
      <w:r>
        <w:t xml:space="preserve"> Since 1 May 2026, when we collect personal information about someone from anyone other than that person, we must take reasonable steps to tell them, unless an exception applies. Using AI to research prospects, enrich contact records or transcribe calls with third parties can trigger this. Ask the privacy officer before starting.</w:t>
      </w:r>
    </w:p>
    <w:p>
      <w:pPr>
        <w:tabs>
          <w:tab w:val="left" w:pos="567"/>
        </w:tabs>
        <w:spacing w:after="110"/>
        <w:ind w:left="567" w:hanging="567"/>
      </w:pPr>
      <w:r>
        <w:rPr>
          <w:b/>
          <w:bCs/>
          <w:color w:val="8B1A1A"/>
        </w:rPr>
        <w:t xml:space="preserve">7.5</w:t>
      </w:r>
      <w:r>
        <w:t xml:space="preserve">	</w:t>
      </w:r>
      <w:r>
        <w:rPr>
          <w:b/>
          <w:bCs/>
        </w:rPr>
        <w:t xml:space="preserve">Biometrics.</w:t>
      </w:r>
      <w:r>
        <w:t xml:space="preserve"> Tools that identify people by face or voice, or that infer emotions or other characteristics from them, are covered by the Biometric Processing Privacy Code 2025. Do not use them without the privacy officer's approval.</w:t>
      </w:r>
    </w:p>
    <w:p>
      <w:pPr>
        <w:tabs>
          <w:tab w:val="left" w:pos="567"/>
        </w:tabs>
        <w:spacing w:after="110"/>
        <w:ind w:left="567" w:hanging="567"/>
      </w:pPr>
      <w:r>
        <w:rPr>
          <w:b/>
          <w:bCs/>
          <w:color w:val="8B1A1A"/>
        </w:rPr>
        <w:t xml:space="preserve">7.6</w:t>
      </w:r>
      <w:r>
        <w:t xml:space="preserve">	</w:t>
      </w:r>
      <w:r>
        <w:rPr>
          <w:b/>
          <w:bCs/>
        </w:rPr>
        <w:t xml:space="preserve">Meetings and calls.</w:t>
      </w:r>
      <w:r>
        <w:t xml:space="preserve"> Tell participants before an AI tool records, transcribes or summarises a meeting or call, and respect a request not to. Check the summary before you share it.</w:t>
      </w:r>
    </w:p>
    <w:p>
      <w:pPr>
        <w:tabs>
          <w:tab w:val="left" w:pos="567"/>
        </w:tabs>
        <w:spacing w:after="110"/>
        <w:ind w:left="567" w:hanging="567"/>
      </w:pPr>
      <w:r>
        <w:rPr>
          <w:b/>
          <w:bCs/>
          <w:color w:val="8B1A1A"/>
        </w:rPr>
        <w:t xml:space="preserve">7.7</w:t>
      </w:r>
      <w:r>
        <w:t xml:space="preserve">	</w:t>
      </w:r>
      <w:r>
        <w:rPr>
          <w:b/>
          <w:bCs/>
        </w:rPr>
        <w:t xml:space="preserve">Privacy statement.</w:t>
      </w:r>
      <w:r>
        <w:t xml:space="preserve"> Our privacy statement explains how we use AI with personal information </w:t>
      </w:r>
      <w:r>
        <w:rPr>
          <w:highlight w:val="yellow"/>
        </w:rPr>
        <w:t xml:space="preserve">[link]</w:t>
      </w:r>
      <w:r>
        <w:t xml:space="preserve">. The AI owner and privacy officer keep it current.</w:t>
      </w:r>
    </w:p>
    <w:p>
      <w:pPr>
        <w:tabs>
          <w:tab w:val="left" w:pos="567"/>
        </w:tabs>
        <w:spacing w:after="110"/>
        <w:ind w:left="567" w:hanging="567"/>
      </w:pPr>
      <w:r>
        <w:rPr>
          <w:b/>
          <w:bCs/>
          <w:color w:val="8B1A1A"/>
        </w:rPr>
        <w:t xml:space="preserve">7.8</w:t>
      </w:r>
      <w:r>
        <w:t xml:space="preserve">	</w:t>
      </w:r>
      <w:r>
        <w:rPr>
          <w:b/>
          <w:bCs/>
        </w:rPr>
        <w:t xml:space="preserve">Access and correction.</w:t>
      </w:r>
      <w:r>
        <w:t xml:space="preserve"> People can ask to see and correct information we hold about them, including AI-generated information. Store AI output about people where we can find it.</w:t>
      </w:r>
    </w:p>
    <w:p>
      <w:pPr>
        <w:tabs>
          <w:tab w:val="left" w:pos="567"/>
        </w:tabs>
        <w:spacing w:after="110"/>
        <w:ind w:left="567" w:hanging="567"/>
      </w:pPr>
      <w:r>
        <w:rPr>
          <w:b/>
          <w:bCs/>
          <w:color w:val="8B1A1A"/>
        </w:rPr>
        <w:t xml:space="preserve">7.9</w:t>
      </w:r>
      <w:r>
        <w:t xml:space="preserve">	</w:t>
      </w:r>
      <w:r>
        <w:rPr>
          <w:b/>
          <w:bCs/>
        </w:rPr>
        <w:t xml:space="preserve">Māori data.</w:t>
      </w:r>
      <w:r>
        <w:t xml:space="preserve"> Where we hold information about Māori individuals or communities, or information of significance to iwi or hapū, we consider Māori data sovereignty principles and engage with the people affected before using AI with it.</w:t>
      </w:r>
    </w:p>
    <w:p>
      <w:pPr>
        <w:pStyle w:val="Heading1"/>
        <w:keepNext/>
      </w:pPr>
      <w:r>
        <w:t xml:space="preserve">8. Using AI output</w:t>
      </w:r>
    </w:p>
    <w:p>
      <w:pPr>
        <w:tabs>
          <w:tab w:val="left" w:pos="567"/>
        </w:tabs>
        <w:spacing w:after="110"/>
        <w:ind w:left="567" w:hanging="567"/>
      </w:pPr>
      <w:r>
        <w:rPr>
          <w:b/>
          <w:bCs/>
          <w:color w:val="8B1A1A"/>
        </w:rPr>
        <w:t xml:space="preserve">8.1</w:t>
      </w:r>
      <w:r>
        <w:t xml:space="preserve">	</w:t>
      </w:r>
      <w:r>
        <w:t xml:space="preserve">You are responsible for any work you produce or send, whether or not AI helped.</w:t>
      </w:r>
    </w:p>
    <w:p>
      <w:pPr>
        <w:tabs>
          <w:tab w:val="left" w:pos="567"/>
        </w:tabs>
        <w:spacing w:after="110"/>
        <w:ind w:left="567" w:hanging="567"/>
      </w:pPr>
      <w:r>
        <w:rPr>
          <w:b/>
          <w:bCs/>
          <w:color w:val="8B1A1A"/>
        </w:rPr>
        <w:t xml:space="preserve">8.2</w:t>
      </w:r>
      <w:r>
        <w:t xml:space="preserve">	</w:t>
      </w:r>
      <w:r>
        <w:t xml:space="preserve">Check before you rely on it:</w:t>
      </w:r>
    </w:p>
    <w:p>
      <w:pPr>
        <w:pStyle w:val="ListParagraph"/>
        <w:numPr>
          <w:ilvl w:val="0"/>
          <w:numId w:val="2"/>
        </w:numPr>
        <w:spacing w:after="60"/>
      </w:pPr>
      <w:r>
        <w:t xml:space="preserve">facts, figures, names and dates</w:t>
      </w:r>
    </w:p>
    <w:p>
      <w:pPr>
        <w:pStyle w:val="ListParagraph"/>
        <w:numPr>
          <w:ilvl w:val="0"/>
          <w:numId w:val="2"/>
        </w:numPr>
        <w:spacing w:after="60"/>
      </w:pPr>
      <w:r>
        <w:t xml:space="preserve">quotes, sources and references: confirm the source exists and says what the AI claims</w:t>
      </w:r>
    </w:p>
    <w:p>
      <w:pPr>
        <w:pStyle w:val="ListParagraph"/>
        <w:numPr>
          <w:ilvl w:val="0"/>
          <w:numId w:val="2"/>
        </w:numPr>
        <w:spacing w:after="60"/>
      </w:pPr>
      <w:r>
        <w:t xml:space="preserve">calculations and spreadsheets</w:t>
      </w:r>
    </w:p>
    <w:p>
      <w:pPr>
        <w:pStyle w:val="ListParagraph"/>
        <w:numPr>
          <w:ilvl w:val="0"/>
          <w:numId w:val="2"/>
        </w:numPr>
        <w:spacing w:after="60"/>
      </w:pPr>
      <w:r>
        <w:t xml:space="preserve">code: review it, test it, and check it for security flaws and embedded secrets</w:t>
      </w:r>
    </w:p>
    <w:p>
      <w:pPr>
        <w:pStyle w:val="ListParagraph"/>
        <w:numPr>
          <w:ilvl w:val="0"/>
          <w:numId w:val="2"/>
        </w:numPr>
        <w:spacing w:after="60"/>
      </w:pPr>
      <w:r>
        <w:t xml:space="preserve">legal, tax, financial, medical and technical statements: a qualified person checks them.</w:t>
      </w:r>
    </w:p>
    <w:p>
      <w:pPr>
        <w:tabs>
          <w:tab w:val="left" w:pos="567"/>
        </w:tabs>
        <w:spacing w:after="110"/>
        <w:ind w:left="567" w:hanging="567"/>
      </w:pPr>
      <w:r>
        <w:rPr>
          <w:b/>
          <w:bCs/>
          <w:color w:val="8B1A1A"/>
        </w:rPr>
        <w:t xml:space="preserve">8.3</w:t>
      </w:r>
      <w:r>
        <w:t xml:space="preserve">	</w:t>
      </w:r>
      <w:r>
        <w:rPr>
          <w:b/>
          <w:bCs/>
        </w:rPr>
        <w:t xml:space="preserve">Disclosure.</w:t>
      </w:r>
      <w:r>
        <w:t xml:space="preserve"> Tell clients and others when AI materially produced work they will rely on, where they would reasonably expect to know, or where a contract or professional body requires it. Customer-facing chatbots, AI voice agents and AI email agents must say they are AI. Label AI-generated or altered images, audio and video in external communications, and never create AI images or audio of a real person without their consent.</w:t>
      </w:r>
    </w:p>
    <w:p>
      <w:pPr>
        <w:tabs>
          <w:tab w:val="left" w:pos="567"/>
        </w:tabs>
        <w:spacing w:after="110"/>
        <w:ind w:left="567" w:hanging="567"/>
      </w:pPr>
      <w:r>
        <w:rPr>
          <w:b/>
          <w:bCs/>
          <w:color w:val="8B1A1A"/>
        </w:rPr>
        <w:t xml:space="preserve">8.4</w:t>
      </w:r>
      <w:r>
        <w:t xml:space="preserve">	</w:t>
      </w:r>
      <w:r>
        <w:rPr>
          <w:b/>
          <w:bCs/>
        </w:rPr>
        <w:t xml:space="preserve">Marketing and claims.</w:t>
      </w:r>
      <w:r>
        <w:t xml:space="preserve"> Under the Fair Trading Act 1986, claims must not be misleading and must be backed by reasonable grounds. That includes claims about what our AI-enabled products can do. Never use AI to create fake reviews, testimonials or personas. Commercial emails and texts must still comply with the Unsolicited Electronic Messages Act 2007.</w:t>
      </w:r>
    </w:p>
    <w:p>
      <w:pPr>
        <w:tabs>
          <w:tab w:val="left" w:pos="567"/>
        </w:tabs>
        <w:spacing w:after="110"/>
        <w:ind w:left="567" w:hanging="567"/>
      </w:pPr>
      <w:r>
        <w:rPr>
          <w:b/>
          <w:bCs/>
          <w:color w:val="8B1A1A"/>
        </w:rPr>
        <w:t xml:space="preserve">8.5</w:t>
      </w:r>
      <w:r>
        <w:t xml:space="preserve">	</w:t>
      </w:r>
      <w:r>
        <w:rPr>
          <w:b/>
          <w:bCs/>
        </w:rPr>
        <w:t xml:space="preserve">Copyright and intellectual property.</w:t>
      </w:r>
      <w:r>
        <w:t xml:space="preserve"> Do not upload third-party material, such as paid reports, licensed images, client documents or source code, unless the licence or owner allows it. Check that output does not reproduce someone else's work. Ownership of AI-generated material in New Zealand is not settled: the Copyright Act 1994 treats a computer-generated work as authored by the person who made the arrangements for it, but this has not been tested for modern AI. Where ownership matters, such as client deliverables, logos or software, record the human contribution and take advice.</w:t>
      </w:r>
    </w:p>
    <w:p>
      <w:pPr>
        <w:tabs>
          <w:tab w:val="left" w:pos="567"/>
        </w:tabs>
        <w:spacing w:after="110"/>
        <w:ind w:left="567" w:hanging="567"/>
      </w:pPr>
      <w:r>
        <w:rPr>
          <w:b/>
          <w:bCs/>
          <w:color w:val="8B1A1A"/>
        </w:rPr>
        <w:t xml:space="preserve">8.6</w:t>
      </w:r>
      <w:r>
        <w:t xml:space="preserve">	</w:t>
      </w:r>
      <w:r>
        <w:rPr>
          <w:b/>
          <w:bCs/>
        </w:rPr>
        <w:t xml:space="preserve">Records.</w:t>
      </w:r>
      <w:r>
        <w:t xml:space="preserve"> For significant AI-assisted work, keep a short record of the tool used, what it did and who checked it, so we can explain the work later. This is required for decisions about people and for regulated work.</w:t>
      </w:r>
    </w:p>
    <w:p>
      <w:pPr>
        <w:pStyle w:val="Heading1"/>
        <w:keepNext/>
      </w:pPr>
      <w:r>
        <w:t xml:space="preserve">9. Decisions about people and other higher-risk uses</w:t>
      </w:r>
    </w:p>
    <w:p>
      <w:pPr>
        <w:tabs>
          <w:tab w:val="left" w:pos="567"/>
        </w:tabs>
        <w:spacing w:after="110"/>
        <w:ind w:left="567" w:hanging="567"/>
      </w:pPr>
      <w:r>
        <w:rPr>
          <w:b/>
          <w:bCs/>
          <w:color w:val="8B1A1A"/>
        </w:rPr>
        <w:t xml:space="preserve">9.1</w:t>
      </w:r>
      <w:r>
        <w:t xml:space="preserve">	</w:t>
      </w:r>
      <w:r>
        <w:t xml:space="preserve">AI may support, but must not make, decisions that significantly affect a person. These include hiring, promotion, discipline, dismissal, pay, performance ratings, rostering, credit, individual pricing, insurance, eligibility for a service, and complaint outcomes. A person reviews the underlying information, not just the AI summary, and makes the decision.</w:t>
      </w:r>
    </w:p>
    <w:p>
      <w:pPr>
        <w:tabs>
          <w:tab w:val="left" w:pos="567"/>
        </w:tabs>
        <w:spacing w:after="110"/>
        <w:ind w:left="567" w:hanging="567"/>
      </w:pPr>
      <w:r>
        <w:rPr>
          <w:b/>
          <w:bCs/>
          <w:color w:val="8B1A1A"/>
        </w:rPr>
        <w:t xml:space="preserve">9.2</w:t>
      </w:r>
      <w:r>
        <w:t xml:space="preserve">	</w:t>
      </w:r>
      <w:r>
        <w:t xml:space="preserve">Complete the higher-risk use screen (Appendix C) and get the AI owner's approval before using AI for:</w:t>
      </w:r>
    </w:p>
    <w:p>
      <w:pPr>
        <w:pStyle w:val="ListParagraph"/>
        <w:numPr>
          <w:ilvl w:val="0"/>
          <w:numId w:val="2"/>
        </w:numPr>
        <w:spacing w:after="60"/>
      </w:pPr>
      <w:r>
        <w:t xml:space="preserve">any decision covered by 9.1</w:t>
      </w:r>
    </w:p>
    <w:p>
      <w:pPr>
        <w:pStyle w:val="ListParagraph"/>
        <w:numPr>
          <w:ilvl w:val="0"/>
          <w:numId w:val="2"/>
        </w:numPr>
        <w:spacing w:after="60"/>
      </w:pPr>
      <w:r>
        <w:t xml:space="preserve">monitoring or assessing staff. Under the Employment Relations Act 2000 we act in good faith: we tell staff what is monitored and why, and give them a chance to comment before any adverse decision</w:t>
      </w:r>
    </w:p>
    <w:p>
      <w:pPr>
        <w:pStyle w:val="ListParagraph"/>
        <w:numPr>
          <w:ilvl w:val="0"/>
          <w:numId w:val="2"/>
        </w:numPr>
        <w:spacing w:after="60"/>
      </w:pPr>
      <w:r>
        <w:t xml:space="preserve">customer-facing chatbots or agents</w:t>
      </w:r>
    </w:p>
    <w:p>
      <w:pPr>
        <w:pStyle w:val="ListParagraph"/>
        <w:numPr>
          <w:ilvl w:val="0"/>
          <w:numId w:val="2"/>
        </w:numPr>
        <w:spacing w:after="60"/>
      </w:pPr>
      <w:r>
        <w:t xml:space="preserve">health, financial hardship, children's or other sensitive information</w:t>
      </w:r>
    </w:p>
    <w:p>
      <w:pPr>
        <w:pStyle w:val="ListParagraph"/>
        <w:numPr>
          <w:ilvl w:val="0"/>
          <w:numId w:val="2"/>
        </w:numPr>
        <w:spacing w:after="60"/>
      </w:pPr>
      <w:r>
        <w:t xml:space="preserve">biometric processing (see 7.5)</w:t>
      </w:r>
    </w:p>
    <w:p>
      <w:pPr>
        <w:pStyle w:val="ListParagraph"/>
        <w:numPr>
          <w:ilvl w:val="0"/>
          <w:numId w:val="2"/>
        </w:numPr>
        <w:spacing w:after="60"/>
      </w:pPr>
      <w:r>
        <w:t xml:space="preserve">legal, financial or medical advice to clients</w:t>
      </w:r>
    </w:p>
    <w:p>
      <w:pPr>
        <w:pStyle w:val="ListParagraph"/>
        <w:numPr>
          <w:ilvl w:val="0"/>
          <w:numId w:val="2"/>
        </w:numPr>
        <w:spacing w:after="60"/>
      </w:pPr>
      <w:r>
        <w:t xml:space="preserve">AI features in products or services we sell</w:t>
      </w:r>
    </w:p>
    <w:p>
      <w:pPr>
        <w:pStyle w:val="ListParagraph"/>
        <w:numPr>
          <w:ilvl w:val="0"/>
          <w:numId w:val="2"/>
        </w:numPr>
        <w:spacing w:after="60"/>
      </w:pPr>
      <w:r>
        <w:t xml:space="preserve">work involving people in the European Union, where the EU AI Act may apply.</w:t>
      </w:r>
    </w:p>
    <w:p>
      <w:pPr>
        <w:tabs>
          <w:tab w:val="left" w:pos="567"/>
        </w:tabs>
        <w:spacing w:after="110"/>
        <w:ind w:left="567" w:hanging="567"/>
      </w:pPr>
      <w:r>
        <w:rPr>
          <w:b/>
          <w:bCs/>
          <w:color w:val="8B1A1A"/>
        </w:rPr>
        <w:t xml:space="preserve">9.3</w:t>
      </w:r>
      <w:r>
        <w:t xml:space="preserve">	</w:t>
      </w:r>
      <w:r>
        <w:t xml:space="preserve">Where AI influences decisions about people, check the results for unfair outcomes for groups protected by the Human Rights Act 1993. Discrimination by an AI tool acting for us is still discrimination by us.</w:t>
      </w:r>
    </w:p>
    <w:p>
      <w:pPr>
        <w:pStyle w:val="Heading1"/>
        <w:keepNext/>
      </w:pPr>
      <w:r>
        <w:t xml:space="preserve">10. AI agents, connectors and automations</w:t>
      </w:r>
    </w:p>
    <w:p>
      <w:pPr>
        <w:tabs>
          <w:tab w:val="left" w:pos="567"/>
        </w:tabs>
        <w:spacing w:after="110"/>
        <w:ind w:left="567" w:hanging="567"/>
      </w:pPr>
      <w:r>
        <w:rPr>
          <w:b/>
          <w:bCs/>
          <w:color w:val="8B1A1A"/>
        </w:rPr>
        <w:t xml:space="preserve">10.1</w:t>
      </w:r>
      <w:r>
        <w:t xml:space="preserve">	</w:t>
      </w:r>
      <w:r>
        <w:t xml:space="preserve">This section covers any AI that can act, such as sending, posting, booking, buying, updating records or running code, and any AI connected to our systems through connectors, plug-ins, MCP servers or APIs.</w:t>
      </w:r>
    </w:p>
    <w:p>
      <w:pPr>
        <w:tabs>
          <w:tab w:val="left" w:pos="567"/>
        </w:tabs>
        <w:spacing w:after="110"/>
        <w:ind w:left="567" w:hanging="567"/>
      </w:pPr>
      <w:r>
        <w:rPr>
          <w:b/>
          <w:bCs/>
          <w:color w:val="8B1A1A"/>
        </w:rPr>
        <w:t xml:space="preserve">10.2</w:t>
      </w:r>
      <w:r>
        <w:t xml:space="preserve">	</w:t>
      </w:r>
      <w:r>
        <w:rPr>
          <w:b/>
          <w:bCs/>
        </w:rPr>
        <w:t xml:space="preserve">Start small.</w:t>
      </w:r>
      <w:r>
        <w:t xml:space="preserve"> Use agents first for low-risk tasks that involve no sensitive information. Expand their scope only after a review. This follows the joint guidance from NCSC New Zealand and its partners, which advises never giving agents broad or unrestricted access.</w:t>
      </w:r>
    </w:p>
    <w:p>
      <w:pPr>
        <w:tabs>
          <w:tab w:val="left" w:pos="567"/>
        </w:tabs>
        <w:spacing w:after="110"/>
        <w:ind w:left="567" w:hanging="567"/>
      </w:pPr>
      <w:r>
        <w:rPr>
          <w:b/>
          <w:bCs/>
          <w:color w:val="8B1A1A"/>
        </w:rPr>
        <w:t xml:space="preserve">10.3</w:t>
      </w:r>
      <w:r>
        <w:t xml:space="preserve">	</w:t>
      </w:r>
      <w:r>
        <w:rPr>
          <w:b/>
          <w:bCs/>
        </w:rPr>
        <w:t xml:space="preserve">Least access.</w:t>
      </w:r>
      <w:r>
        <w:t xml:space="preserve"> Give each agent its own identity or account where possible, and only the access the task needs, read-only by default. Never give an agent your password, an administrator account or a shared login.</w:t>
      </w:r>
    </w:p>
    <w:p>
      <w:pPr>
        <w:tabs>
          <w:tab w:val="left" w:pos="567"/>
        </w:tabs>
        <w:spacing w:after="110"/>
        <w:ind w:left="567" w:hanging="567"/>
      </w:pPr>
      <w:r>
        <w:rPr>
          <w:b/>
          <w:bCs/>
          <w:color w:val="8B1A1A"/>
        </w:rPr>
        <w:t xml:space="preserve">10.4</w:t>
      </w:r>
      <w:r>
        <w:t xml:space="preserve">	</w:t>
      </w:r>
      <w:r>
        <w:rPr>
          <w:b/>
          <w:bCs/>
        </w:rPr>
        <w:t xml:space="preserve">Human approval first.</w:t>
      </w:r>
      <w:r>
        <w:t xml:space="preserve"> A person must approve before an agent:</w:t>
      </w:r>
    </w:p>
    <w:p>
      <w:pPr>
        <w:pStyle w:val="ListParagraph"/>
        <w:numPr>
          <w:ilvl w:val="0"/>
          <w:numId w:val="2"/>
        </w:numPr>
        <w:spacing w:after="60"/>
      </w:pPr>
      <w:r>
        <w:t xml:space="preserve">sends anything outside the company, such as email, messages or social posts</w:t>
      </w:r>
    </w:p>
    <w:p>
      <w:pPr>
        <w:pStyle w:val="ListParagraph"/>
        <w:numPr>
          <w:ilvl w:val="0"/>
          <w:numId w:val="2"/>
        </w:numPr>
        <w:spacing w:after="60"/>
      </w:pPr>
      <w:r>
        <w:t xml:space="preserve">makes, changes or approves a payment or order</w:t>
      </w:r>
    </w:p>
    <w:p>
      <w:pPr>
        <w:pStyle w:val="ListParagraph"/>
        <w:numPr>
          <w:ilvl w:val="0"/>
          <w:numId w:val="2"/>
        </w:numPr>
        <w:spacing w:after="60"/>
      </w:pPr>
      <w:r>
        <w:t xml:space="preserve">deletes or overwrites information</w:t>
      </w:r>
    </w:p>
    <w:p>
      <w:pPr>
        <w:pStyle w:val="ListParagraph"/>
        <w:numPr>
          <w:ilvl w:val="0"/>
          <w:numId w:val="2"/>
        </w:numPr>
        <w:spacing w:after="60"/>
      </w:pPr>
      <w:r>
        <w:t xml:space="preserve">changes permissions, settings or security controls</w:t>
      </w:r>
    </w:p>
    <w:p>
      <w:pPr>
        <w:pStyle w:val="ListParagraph"/>
        <w:numPr>
          <w:ilvl w:val="0"/>
          <w:numId w:val="2"/>
        </w:numPr>
        <w:spacing w:after="60"/>
      </w:pPr>
      <w:r>
        <w:t xml:space="preserve">accepts terms or signs anything</w:t>
      </w:r>
    </w:p>
    <w:p>
      <w:pPr>
        <w:pStyle w:val="ListParagraph"/>
        <w:numPr>
          <w:ilvl w:val="0"/>
          <w:numId w:val="2"/>
        </w:numPr>
        <w:spacing w:after="60"/>
      </w:pPr>
      <w:r>
        <w:t xml:space="preserve">contacts a client or supplier on our behalf.</w:t>
      </w:r>
    </w:p>
    <w:p>
      <w:pPr>
        <w:tabs>
          <w:tab w:val="left" w:pos="567"/>
        </w:tabs>
        <w:spacing w:after="110"/>
        <w:ind w:left="567" w:hanging="567"/>
      </w:pPr>
      <w:r>
        <w:rPr>
          <w:b/>
          <w:bCs/>
          <w:color w:val="8B1A1A"/>
        </w:rPr>
        <w:t xml:space="preserve">10.5</w:t>
      </w:r>
      <w:r>
        <w:t xml:space="preserve">	</w:t>
      </w:r>
      <w:r>
        <w:rPr>
          <w:b/>
          <w:bCs/>
        </w:rPr>
        <w:t xml:space="preserve">Connectors are new tools.</w:t>
      </w:r>
      <w:r>
        <w:t xml:space="preserve"> Connecting an AI tool to email, files, CRM, finance or any other system needs approval under 5.4.</w:t>
      </w:r>
    </w:p>
    <w:p>
      <w:pPr>
        <w:tabs>
          <w:tab w:val="left" w:pos="567"/>
        </w:tabs>
        <w:spacing w:after="110"/>
        <w:ind w:left="567" w:hanging="567"/>
      </w:pPr>
      <w:r>
        <w:rPr>
          <w:b/>
          <w:bCs/>
          <w:color w:val="8B1A1A"/>
        </w:rPr>
        <w:t xml:space="preserve">10.6</w:t>
      </w:r>
      <w:r>
        <w:t xml:space="preserve">	</w:t>
      </w:r>
      <w:r>
        <w:rPr>
          <w:b/>
          <w:bCs/>
        </w:rPr>
        <w:t xml:space="preserve">Logged and stoppable.</w:t>
      </w:r>
      <w:r>
        <w:t xml:space="preserve"> Every agent has a named owner in the AI register. Its actions are logged, and its owner can pause it or remove its access at any time.</w:t>
      </w:r>
    </w:p>
    <w:p>
      <w:pPr>
        <w:tabs>
          <w:tab w:val="left" w:pos="567"/>
        </w:tabs>
        <w:spacing w:after="110"/>
        <w:ind w:left="567" w:hanging="567"/>
      </w:pPr>
      <w:r>
        <w:rPr>
          <w:b/>
          <w:bCs/>
          <w:color w:val="8B1A1A"/>
        </w:rPr>
        <w:t xml:space="preserve">10.7</w:t>
      </w:r>
      <w:r>
        <w:t xml:space="preserve">	</w:t>
      </w:r>
      <w:r>
        <w:rPr>
          <w:b/>
          <w:bCs/>
        </w:rPr>
        <w:t xml:space="preserve">Hidden instructions (prompt injection).</w:t>
      </w:r>
      <w:r>
        <w:t xml:space="preserve"> Attackers hide instructions in emails, documents, web pages and calendar invites to manipulate AI tools. Treat that content as data, never as instructions. If an AI tool tries to do something you did not ask for, such as sending information elsewhere or changing a setting, stop and report it.</w:t>
      </w:r>
    </w:p>
    <w:p>
      <w:pPr>
        <w:pStyle w:val="Heading1"/>
        <w:keepNext/>
      </w:pPr>
      <w:r>
        <w:t xml:space="preserve">11. Security</w:t>
      </w:r>
    </w:p>
    <w:p>
      <w:pPr>
        <w:tabs>
          <w:tab w:val="left" w:pos="567"/>
        </w:tabs>
        <w:spacing w:after="110"/>
        <w:ind w:left="567" w:hanging="567"/>
      </w:pPr>
      <w:r>
        <w:rPr>
          <w:b/>
          <w:bCs/>
          <w:color w:val="8B1A1A"/>
        </w:rPr>
        <w:t xml:space="preserve">11.1</w:t>
      </w:r>
      <w:r>
        <w:t xml:space="preserve">	</w:t>
      </w:r>
      <w:r>
        <w:t xml:space="preserve">Use single sign-on and multi-factor authentication for AI accounts where available. Never share an AI account.</w:t>
      </w:r>
    </w:p>
    <w:p>
      <w:pPr>
        <w:tabs>
          <w:tab w:val="left" w:pos="567"/>
        </w:tabs>
        <w:spacing w:after="110"/>
        <w:ind w:left="567" w:hanging="567"/>
      </w:pPr>
      <w:r>
        <w:rPr>
          <w:b/>
          <w:bCs/>
          <w:color w:val="8B1A1A"/>
        </w:rPr>
        <w:t xml:space="preserve">11.2</w:t>
      </w:r>
      <w:r>
        <w:t xml:space="preserve">	</w:t>
      </w:r>
      <w:r>
        <w:t xml:space="preserve">Do not install AI browser extensions, desktop apps or meeting bots without approval. Many can read everything on your screen or in your browser.</w:t>
      </w:r>
    </w:p>
    <w:p>
      <w:pPr>
        <w:tabs>
          <w:tab w:val="left" w:pos="567"/>
        </w:tabs>
        <w:spacing w:after="110"/>
        <w:ind w:left="567" w:hanging="567"/>
      </w:pPr>
      <w:r>
        <w:rPr>
          <w:b/>
          <w:bCs/>
          <w:color w:val="8B1A1A"/>
        </w:rPr>
        <w:t xml:space="preserve">11.3</w:t>
      </w:r>
      <w:r>
        <w:t xml:space="preserve">	</w:t>
      </w:r>
      <w:r>
        <w:t xml:space="preserve">Microsoft Copilot can surface any file you already have permission to open. Before Copilot is rolled out widely, IT reviews sharing in SharePoint, Teams and OneDrive, removes organisation-wide access from sensitive content, applies sensitivity labels, and excludes sensitive sites from Copilot where needed. If Copilot shows you something you should not be able to see, report it and do not use it.</w:t>
      </w:r>
    </w:p>
    <w:p>
      <w:pPr>
        <w:tabs>
          <w:tab w:val="left" w:pos="567"/>
        </w:tabs>
        <w:spacing w:after="110"/>
        <w:ind w:left="567" w:hanging="567"/>
      </w:pPr>
      <w:r>
        <w:rPr>
          <w:b/>
          <w:bCs/>
          <w:color w:val="8B1A1A"/>
        </w:rPr>
        <w:t xml:space="preserve">11.4</w:t>
      </w:r>
      <w:r>
        <w:t xml:space="preserve">	</w:t>
      </w:r>
      <w:r>
        <w:t xml:space="preserve">Review, test and scan AI-written code before it is used in production. Never paste secrets into a prompt.</w:t>
      </w:r>
    </w:p>
    <w:p>
      <w:pPr>
        <w:tabs>
          <w:tab w:val="left" w:pos="567"/>
        </w:tabs>
        <w:spacing w:after="110"/>
        <w:ind w:left="567" w:hanging="567"/>
      </w:pPr>
      <w:r>
        <w:rPr>
          <w:b/>
          <w:bCs/>
          <w:color w:val="8B1A1A"/>
        </w:rPr>
        <w:t xml:space="preserve">11.5</w:t>
      </w:r>
      <w:r>
        <w:t xml:space="preserve">	</w:t>
      </w:r>
      <w:r>
        <w:t xml:space="preserve">AI chats and outputs are company records. Our normal retention rules apply, and the AI owner sets retention in each approved tool to match.</w:t>
      </w:r>
    </w:p>
    <w:p>
      <w:pPr>
        <w:pStyle w:val="Heading1"/>
        <w:keepNext/>
      </w:pPr>
      <w:r>
        <w:t xml:space="preserve">12. Deepfakes and impersonation fraud</w:t>
      </w:r>
    </w:p>
    <w:p>
      <w:pPr>
        <w:tabs>
          <w:tab w:val="left" w:pos="567"/>
        </w:tabs>
        <w:spacing w:after="110"/>
        <w:ind w:left="567" w:hanging="567"/>
      </w:pPr>
      <w:r>
        <w:rPr>
          <w:b/>
          <w:bCs/>
          <w:color w:val="8B1A1A"/>
        </w:rPr>
        <w:t xml:space="preserve">12.1</w:t>
      </w:r>
      <w:r>
        <w:t xml:space="preserve">	</w:t>
      </w:r>
      <w:r>
        <w:t xml:space="preserve">AI can convincingly copy a person's voice and face from a few seconds of recording. Criminals use this to impersonate executives, suppliers and clients. In 2024 an employee of a multinational firm in Hong Kong paid out about HK$200 million after a video call in which every other participant was a deepfake.</w:t>
      </w:r>
    </w:p>
    <w:p>
      <w:pPr>
        <w:tabs>
          <w:tab w:val="left" w:pos="567"/>
        </w:tabs>
        <w:spacing w:after="110"/>
        <w:ind w:left="567" w:hanging="567"/>
      </w:pPr>
      <w:r>
        <w:rPr>
          <w:b/>
          <w:bCs/>
          <w:color w:val="8B1A1A"/>
        </w:rPr>
        <w:t xml:space="preserve">12.2</w:t>
      </w:r>
      <w:r>
        <w:t xml:space="preserve">	</w:t>
      </w:r>
      <w:r>
        <w:t xml:space="preserve">These rules apply to everyone, including senior leaders:</w:t>
      </w:r>
    </w:p>
    <w:p>
      <w:pPr>
        <w:pStyle w:val="ListParagraph"/>
        <w:numPr>
          <w:ilvl w:val="0"/>
          <w:numId w:val="2"/>
        </w:numPr>
        <w:spacing w:after="60"/>
      </w:pPr>
      <w:r>
        <w:t xml:space="preserve">Never change bank account details for a supplier, client or staff member because of an email, text, call, voice message or video call alone. Confirm by calling a number we already hold, never one supplied in the request.</w:t>
      </w:r>
    </w:p>
    <w:p>
      <w:pPr>
        <w:pStyle w:val="ListParagraph"/>
        <w:numPr>
          <w:ilvl w:val="0"/>
          <w:numId w:val="2"/>
        </w:numPr>
        <w:spacing w:after="60"/>
      </w:pPr>
      <w:r>
        <w:t xml:space="preserve">Payments over </w:t>
      </w:r>
      <w:r>
        <w:rPr>
          <w:highlight w:val="yellow"/>
        </w:rPr>
        <w:t xml:space="preserve">[$ amount]</w:t>
      </w:r>
      <w:r>
        <w:t xml:space="preserve">, and any urgent or unusual payment, need approval from two people </w:t>
      </w:r>
      <w:r>
        <w:rPr>
          <w:highlight w:val="yellow"/>
        </w:rPr>
        <w:t xml:space="preserve">[and a call-back]</w:t>
      </w:r>
      <w:r>
        <w:t xml:space="preserve">.</w:t>
      </w:r>
    </w:p>
    <w:p>
      <w:pPr>
        <w:pStyle w:val="ListParagraph"/>
        <w:numPr>
          <w:ilvl w:val="0"/>
          <w:numId w:val="2"/>
        </w:numPr>
        <w:spacing w:after="60"/>
      </w:pPr>
      <w:r>
        <w:t xml:space="preserve">Urgency, secrecy and pressure are warning signs. There are no exceptions to verification for senior people.</w:t>
      </w:r>
    </w:p>
    <w:p>
      <w:pPr>
        <w:pStyle w:val="ListParagraph"/>
        <w:numPr>
          <w:ilvl w:val="0"/>
          <w:numId w:val="2"/>
        </w:numPr>
        <w:spacing w:after="60"/>
      </w:pPr>
      <w:r>
        <w:t xml:space="preserve">(Optional) Leadership agrees a verification phrase to use for urgent requests.</w:t>
      </w:r>
    </w:p>
    <w:p>
      <w:pPr>
        <w:pStyle w:val="ListParagraph"/>
        <w:numPr>
          <w:ilvl w:val="0"/>
          <w:numId w:val="2"/>
        </w:numPr>
        <w:spacing w:after="60"/>
      </w:pPr>
      <w:r>
        <w:t xml:space="preserve">Report any suspected deepfake or impersonation attempt to </w:t>
      </w:r>
      <w:r>
        <w:rPr>
          <w:highlight w:val="yellow"/>
        </w:rPr>
        <w:t xml:space="preserve">[AI owner or IT]</w:t>
      </w:r>
      <w:r>
        <w:t xml:space="preserve"> straight away.</w:t>
      </w:r>
    </w:p>
    <w:p>
      <w:pPr>
        <w:pStyle w:val="Heading1"/>
        <w:keepNext/>
      </w:pPr>
      <w:r>
        <w:t xml:space="preserve">13. AI we build or sell (Optional)</w:t>
      </w:r>
    </w:p>
    <w:p>
      <w:pPr>
        <w:tabs>
          <w:tab w:val="left" w:pos="567"/>
        </w:tabs>
        <w:spacing w:after="110"/>
        <w:ind w:left="567" w:hanging="567"/>
      </w:pPr>
      <w:r>
        <w:rPr>
          <w:b/>
          <w:bCs/>
          <w:color w:val="8B1A1A"/>
        </w:rPr>
        <w:t xml:space="preserve">13.1</w:t>
      </w:r>
      <w:r>
        <w:t xml:space="preserve">	</w:t>
      </w:r>
      <w:r>
        <w:t xml:space="preserve">Custom GPTs, Copilot agents, Claude Projects and workflows built by staff are recorded in the AI register with an owner and the highest class of information they use. Test them before wider use, keep sharing internal, and do not load Restricted information into their knowledge files.</w:t>
      </w:r>
    </w:p>
    <w:p>
      <w:pPr>
        <w:tabs>
          <w:tab w:val="left" w:pos="567"/>
        </w:tabs>
        <w:spacing w:after="110"/>
        <w:ind w:left="567" w:hanging="567"/>
      </w:pPr>
      <w:r>
        <w:rPr>
          <w:b/>
          <w:bCs/>
          <w:color w:val="8B1A1A"/>
        </w:rPr>
        <w:t xml:space="preserve">13.2</w:t>
      </w:r>
      <w:r>
        <w:t xml:space="preserve">	</w:t>
      </w:r>
      <w:r>
        <w:t xml:space="preserve">If we sell AI-enabled products or services, the product owner documents the intended use, known limitations, testing and human oversight, and tells customers how AI is used. Marketing claims must meet 8.4. Larger customers may ask about a recognised framework such as ISO/IEC 42001 or the NIST AI Risk Management Framework.</w:t>
      </w:r>
    </w:p>
    <w:p>
      <w:pPr>
        <w:pStyle w:val="Heading1"/>
        <w:keepNext/>
      </w:pPr>
      <w:r>
        <w:t xml:space="preserve">14. Choosing and reviewing AI vendors</w:t>
      </w:r>
    </w:p>
    <w:p>
      <w:pPr>
        <w:tabs>
          <w:tab w:val="left" w:pos="567"/>
        </w:tabs>
        <w:spacing w:after="110"/>
        <w:ind w:left="567" w:hanging="567"/>
      </w:pPr>
      <w:r>
        <w:rPr>
          <w:b/>
          <w:bCs/>
          <w:color w:val="8B1A1A"/>
        </w:rPr>
        <w:t xml:space="preserve">14.1</w:t>
      </w:r>
      <w:r>
        <w:t xml:space="preserve">	</w:t>
      </w:r>
      <w:r>
        <w:t xml:space="preserve">Before a tool is approved, the AI owner checks and records:</w:t>
      </w:r>
    </w:p>
    <w:p>
      <w:pPr>
        <w:pStyle w:val="ListParagraph"/>
        <w:numPr>
          <w:ilvl w:val="0"/>
          <w:numId w:val="2"/>
        </w:numPr>
        <w:spacing w:after="60"/>
      </w:pPr>
      <w:r>
        <w:t xml:space="preserve">whether our data is used to train models, both by default and under the contract</w:t>
      </w:r>
    </w:p>
    <w:p>
      <w:pPr>
        <w:pStyle w:val="ListParagraph"/>
        <w:numPr>
          <w:ilvl w:val="0"/>
          <w:numId w:val="2"/>
        </w:numPr>
        <w:spacing w:after="60"/>
      </w:pPr>
      <w:r>
        <w:t xml:space="preserve">how long data is kept, and whether we can set retention and delete it</w:t>
      </w:r>
    </w:p>
    <w:p>
      <w:pPr>
        <w:pStyle w:val="ListParagraph"/>
        <w:numPr>
          <w:ilvl w:val="0"/>
          <w:numId w:val="2"/>
        </w:numPr>
        <w:spacing w:after="60"/>
      </w:pPr>
      <w:r>
        <w:t xml:space="preserve">where data is processed and stored, and which subprocessors are involved</w:t>
      </w:r>
    </w:p>
    <w:p>
      <w:pPr>
        <w:pStyle w:val="ListParagraph"/>
        <w:numPr>
          <w:ilvl w:val="0"/>
          <w:numId w:val="2"/>
        </w:numPr>
        <w:spacing w:after="60"/>
      </w:pPr>
      <w:r>
        <w:t xml:space="preserve">security: certifications such as ISO 27001 or SOC 2, single sign-on, admin controls and audit logs</w:t>
      </w:r>
    </w:p>
    <w:p>
      <w:pPr>
        <w:pStyle w:val="ListParagraph"/>
        <w:numPr>
          <w:ilvl w:val="0"/>
          <w:numId w:val="2"/>
        </w:numPr>
        <w:spacing w:after="60"/>
      </w:pPr>
      <w:r>
        <w:t xml:space="preserve">the contract: data processing terms, confidentiality, breach notification to us, ownership of outputs, any copyright protection offered, and how we get our data back if we leave</w:t>
      </w:r>
    </w:p>
    <w:p>
      <w:pPr>
        <w:pStyle w:val="ListParagraph"/>
        <w:numPr>
          <w:ilvl w:val="0"/>
          <w:numId w:val="2"/>
        </w:numPr>
        <w:spacing w:after="60"/>
      </w:pPr>
      <w:r>
        <w:t xml:space="preserve">whether the vendor's usage policy allows what we intend to do.</w:t>
      </w:r>
    </w:p>
    <w:p>
      <w:pPr>
        <w:tabs>
          <w:tab w:val="left" w:pos="567"/>
        </w:tabs>
        <w:spacing w:after="110"/>
        <w:ind w:left="567" w:hanging="567"/>
      </w:pPr>
      <w:r>
        <w:rPr>
          <w:b/>
          <w:bCs/>
          <w:color w:val="8B1A1A"/>
        </w:rPr>
        <w:t xml:space="preserve">14.2</w:t>
      </w:r>
      <w:r>
        <w:t xml:space="preserve">	</w:t>
      </w:r>
      <w:r>
        <w:t xml:space="preserve">AI vendors change their terms often. Review each approved vendor at least once a year, and whenever its terms change. Approval is not a one-off decision.</w:t>
      </w:r>
    </w:p>
    <w:p>
      <w:pPr>
        <w:pStyle w:val="Heading1"/>
        <w:keepNext/>
      </w:pPr>
      <w:r>
        <w:t xml:space="preserve">15. Training</w:t>
      </w:r>
    </w:p>
    <w:p>
      <w:pPr>
        <w:tabs>
          <w:tab w:val="left" w:pos="567"/>
        </w:tabs>
        <w:spacing w:after="110"/>
        <w:ind w:left="567" w:hanging="567"/>
      </w:pPr>
      <w:r>
        <w:rPr>
          <w:b/>
          <w:bCs/>
          <w:color w:val="8B1A1A"/>
        </w:rPr>
        <w:t xml:space="preserve">15.1</w:t>
      </w:r>
      <w:r>
        <w:t xml:space="preserve">	</w:t>
      </w:r>
      <w:r>
        <w:t xml:space="preserve">All staff complete AI training before they get access to AI tools, and a refresher at least once a year. Training covers this policy, the information rules, checking output, deepfake fraud and hidden instructions.</w:t>
      </w:r>
    </w:p>
    <w:p>
      <w:pPr>
        <w:tabs>
          <w:tab w:val="left" w:pos="567"/>
        </w:tabs>
        <w:spacing w:after="110"/>
        <w:ind w:left="567" w:hanging="567"/>
      </w:pPr>
      <w:r>
        <w:rPr>
          <w:b/>
          <w:bCs/>
          <w:color w:val="8B1A1A"/>
        </w:rPr>
        <w:t xml:space="preserve">15.2</w:t>
      </w:r>
      <w:r>
        <w:t xml:space="preserve">	</w:t>
      </w:r>
      <w:r>
        <w:t xml:space="preserve">Staff who build agents or automations, or who use AI in higher-risk work, receive additional training.</w:t>
      </w:r>
    </w:p>
    <w:p>
      <w:pPr>
        <w:tabs>
          <w:tab w:val="left" w:pos="567"/>
        </w:tabs>
        <w:spacing w:after="110"/>
        <w:ind w:left="567" w:hanging="567"/>
      </w:pPr>
      <w:r>
        <w:rPr>
          <w:b/>
          <w:bCs/>
          <w:color w:val="8B1A1A"/>
        </w:rPr>
        <w:t xml:space="preserve">15.3</w:t>
      </w:r>
      <w:r>
        <w:t xml:space="preserve">	</w:t>
      </w:r>
      <w:r>
        <w:t xml:space="preserve">Training records are kept at </w:t>
      </w:r>
      <w:r>
        <w:rPr>
          <w:highlight w:val="yellow"/>
        </w:rPr>
        <w:t xml:space="preserve">[location]</w:t>
      </w:r>
      <w:r>
        <w:t xml:space="preserve">. If we deal with the European Union, this also supports the AI literacy duty in the EU AI Act.</w:t>
      </w:r>
    </w:p>
    <w:p>
      <w:pPr>
        <w:pStyle w:val="Heading1"/>
        <w:keepNext/>
      </w:pPr>
      <w:r>
        <w:t xml:space="preserve">16. Incidents, breaches and concerns</w:t>
      </w:r>
    </w:p>
    <w:p>
      <w:pPr>
        <w:tabs>
          <w:tab w:val="left" w:pos="567"/>
        </w:tabs>
        <w:spacing w:after="110"/>
        <w:ind w:left="567" w:hanging="567"/>
      </w:pPr>
      <w:r>
        <w:rPr>
          <w:b/>
          <w:bCs/>
          <w:color w:val="8B1A1A"/>
        </w:rPr>
        <w:t xml:space="preserve">16.1</w:t>
      </w:r>
      <w:r>
        <w:t xml:space="preserve">	</w:t>
      </w:r>
      <w:r>
        <w:t xml:space="preserve">Report to </w:t>
      </w:r>
      <w:r>
        <w:rPr>
          <w:highlight w:val="yellow"/>
        </w:rPr>
        <w:t xml:space="preserve">[AI owner or IT, email, phone]</w:t>
      </w:r>
      <w:r>
        <w:t xml:space="preserve"> straight away if:</w:t>
      </w:r>
    </w:p>
    <w:p>
      <w:pPr>
        <w:pStyle w:val="ListParagraph"/>
        <w:numPr>
          <w:ilvl w:val="0"/>
          <w:numId w:val="2"/>
        </w:numPr>
        <w:spacing w:after="60"/>
      </w:pPr>
      <w:r>
        <w:t xml:space="preserve">personal, confidential or restricted information went into an unapproved tool or the wrong place</w:t>
      </w:r>
    </w:p>
    <w:p>
      <w:pPr>
        <w:pStyle w:val="ListParagraph"/>
        <w:numPr>
          <w:ilvl w:val="0"/>
          <w:numId w:val="2"/>
        </w:numPr>
        <w:spacing w:after="60"/>
      </w:pPr>
      <w:r>
        <w:t xml:space="preserve">AI output containing an error was sent to someone or relied on</w:t>
      </w:r>
    </w:p>
    <w:p>
      <w:pPr>
        <w:pStyle w:val="ListParagraph"/>
        <w:numPr>
          <w:ilvl w:val="0"/>
          <w:numId w:val="2"/>
        </w:numPr>
        <w:spacing w:after="60"/>
      </w:pPr>
      <w:r>
        <w:t xml:space="preserve">an agent did something unexpected</w:t>
      </w:r>
    </w:p>
    <w:p>
      <w:pPr>
        <w:pStyle w:val="ListParagraph"/>
        <w:numPr>
          <w:ilvl w:val="0"/>
          <w:numId w:val="2"/>
        </w:numPr>
        <w:spacing w:after="60"/>
      </w:pPr>
      <w:r>
        <w:t xml:space="preserve">you suspect a deepfake or impersonation attempt</w:t>
      </w:r>
    </w:p>
    <w:p>
      <w:pPr>
        <w:pStyle w:val="ListParagraph"/>
        <w:numPr>
          <w:ilvl w:val="0"/>
          <w:numId w:val="2"/>
        </w:numPr>
        <w:spacing w:after="60"/>
      </w:pPr>
      <w:r>
        <w:t xml:space="preserve">an AI tool showed you information you should not see</w:t>
      </w:r>
    </w:p>
    <w:p>
      <w:pPr>
        <w:pStyle w:val="ListParagraph"/>
        <w:numPr>
          <w:ilvl w:val="0"/>
          <w:numId w:val="2"/>
        </w:numPr>
        <w:spacing w:after="60"/>
      </w:pPr>
      <w:r>
        <w:t xml:space="preserve">you have a concern about bias, misuse or this policy.</w:t>
      </w:r>
    </w:p>
    <w:p>
      <w:pPr>
        <w:tabs>
          <w:tab w:val="left" w:pos="567"/>
        </w:tabs>
        <w:spacing w:after="110"/>
        <w:ind w:left="567" w:hanging="567"/>
      </w:pPr>
      <w:r>
        <w:rPr>
          <w:b/>
          <w:bCs/>
          <w:color w:val="8B1A1A"/>
        </w:rPr>
        <w:t xml:space="preserve">16.2</w:t>
      </w:r>
      <w:r>
        <w:t xml:space="preserve">	</w:t>
      </w:r>
      <w:r>
        <w:t xml:space="preserve">We want early reports. Staff who report in good faith, including their own mistakes, will be supported. </w:t>
      </w:r>
      <w:r>
        <w:rPr>
          <w:highlight w:val="yellow"/>
        </w:rPr>
        <w:t xml:space="preserve">[Concerns can also be raised under our protected disclosures procedure.]</w:t>
      </w:r>
    </w:p>
    <w:p>
      <w:pPr>
        <w:tabs>
          <w:tab w:val="left" w:pos="567"/>
        </w:tabs>
        <w:spacing w:after="110"/>
        <w:ind w:left="567" w:hanging="567"/>
      </w:pPr>
      <w:r>
        <w:rPr>
          <w:b/>
          <w:bCs/>
          <w:color w:val="8B1A1A"/>
        </w:rPr>
        <w:t xml:space="preserve">16.3</w:t>
      </w:r>
      <w:r>
        <w:t xml:space="preserve">	</w:t>
      </w:r>
      <w:r>
        <w:rPr>
          <w:b/>
          <w:bCs/>
        </w:rPr>
        <w:t xml:space="preserve">Privacy breaches.</w:t>
      </w:r>
      <w:r>
        <w:t xml:space="preserve"> The privacy officer decides whether a breach is notifiable, meaning it is reasonable to believe it has caused or is likely to cause serious harm. A notifiable breach must be reported to the Privacy Commissioner (through NotifyUs) and to affected people as soon as practicable. The Commissioner expects notification ideally within 72 hours of becoming aware, even if the investigation is still going. Failing to notify is an offence.</w:t>
      </w:r>
    </w:p>
    <w:p>
      <w:pPr>
        <w:tabs>
          <w:tab w:val="left" w:pos="567"/>
        </w:tabs>
        <w:spacing w:after="110"/>
        <w:ind w:left="567" w:hanging="567"/>
      </w:pPr>
      <w:r>
        <w:rPr>
          <w:b/>
          <w:bCs/>
          <w:color w:val="8B1A1A"/>
        </w:rPr>
        <w:t xml:space="preserve">16.4</w:t>
      </w:r>
      <w:r>
        <w:t xml:space="preserve">	</w:t>
      </w:r>
      <w:r>
        <w:rPr>
          <w:b/>
          <w:bCs/>
        </w:rPr>
        <w:t xml:space="preserve">Cyber incidents.</w:t>
      </w:r>
      <w:r>
        <w:t xml:space="preserve"> Report to NCSC New Zealand at ncsc.govt.nz/report or 0800 114 115, and to our IT provider </w:t>
      </w:r>
      <w:r>
        <w:rPr>
          <w:highlight w:val="yellow"/>
        </w:rPr>
        <w:t xml:space="preserve">[name, contact]</w:t>
      </w:r>
      <w:r>
        <w:t xml:space="preserve">.</w:t>
      </w:r>
    </w:p>
    <w:p>
      <w:pPr>
        <w:tabs>
          <w:tab w:val="left" w:pos="567"/>
        </w:tabs>
        <w:spacing w:after="110"/>
        <w:ind w:left="567" w:hanging="567"/>
      </w:pPr>
      <w:r>
        <w:rPr>
          <w:b/>
          <w:bCs/>
          <w:color w:val="8B1A1A"/>
        </w:rPr>
        <w:t xml:space="preserve">16.5</w:t>
      </w:r>
      <w:r>
        <w:t xml:space="preserve">	</w:t>
      </w:r>
      <w:r>
        <w:t xml:space="preserve">Every AI incident is recorded in the AI register, and lessons are fed back into this policy and our training.</w:t>
      </w:r>
    </w:p>
    <w:p>
      <w:pPr>
        <w:pStyle w:val="Heading1"/>
        <w:keepNext/>
      </w:pPr>
      <w:r>
        <w:t xml:space="preserve">17. Compliance with this policy</w:t>
      </w:r>
    </w:p>
    <w:p>
      <w:pPr>
        <w:tabs>
          <w:tab w:val="left" w:pos="567"/>
        </w:tabs>
        <w:spacing w:after="110"/>
        <w:ind w:left="567" w:hanging="567"/>
      </w:pPr>
      <w:r>
        <w:rPr>
          <w:b/>
          <w:bCs/>
          <w:color w:val="8B1A1A"/>
        </w:rPr>
        <w:t xml:space="preserve">17.1</w:t>
      </w:r>
      <w:r>
        <w:t xml:space="preserve">	</w:t>
      </w:r>
      <w:r>
        <w:t xml:space="preserve">Breaches are handled proportionately. An honest mistake reported promptly leads to support and training. Deliberate or repeated misuse is dealt with under </w:t>
      </w:r>
      <w:r>
        <w:rPr>
          <w:highlight w:val="yellow"/>
        </w:rPr>
        <w:t xml:space="preserve">[our code of conduct and disciplinary process]</w:t>
      </w:r>
      <w:r>
        <w:t xml:space="preserve">.</w:t>
      </w:r>
    </w:p>
    <w:p>
      <w:pPr>
        <w:tabs>
          <w:tab w:val="left" w:pos="567"/>
        </w:tabs>
        <w:spacing w:after="110"/>
        <w:ind w:left="567" w:hanging="567"/>
      </w:pPr>
      <w:r>
        <w:rPr>
          <w:b/>
          <w:bCs/>
          <w:color w:val="8B1A1A"/>
        </w:rPr>
        <w:t xml:space="preserve">17.2</w:t>
      </w:r>
      <w:r>
        <w:t xml:space="preserve">	</w:t>
      </w:r>
      <w:r>
        <w:t xml:space="preserve">We may monitor the use of company AI accounts and systems for security and compliance, in line with </w:t>
      </w:r>
      <w:r>
        <w:rPr>
          <w:highlight w:val="yellow"/>
        </w:rPr>
        <w:t xml:space="preserve">[our IT acceptable use policy]</w:t>
      </w:r>
      <w:r>
        <w:t xml:space="preserve"> and our privacy obligations. Staff are told what is monitored.</w:t>
      </w:r>
    </w:p>
    <w:p>
      <w:pPr>
        <w:pStyle w:val="Heading1"/>
        <w:keepNext/>
      </w:pPr>
      <w:r>
        <w:t xml:space="preserve">18. Review</w:t>
      </w:r>
    </w:p>
    <w:p>
      <w:pPr>
        <w:tabs>
          <w:tab w:val="left" w:pos="567"/>
        </w:tabs>
        <w:spacing w:after="110"/>
        <w:ind w:left="567" w:hanging="567"/>
      </w:pPr>
      <w:r>
        <w:rPr>
          <w:b/>
          <w:bCs/>
          <w:color w:val="8B1A1A"/>
        </w:rPr>
        <w:t xml:space="preserve">18.1</w:t>
      </w:r>
      <w:r>
        <w:t xml:space="preserve">	</w:t>
      </w:r>
      <w:r>
        <w:t xml:space="preserve">The AI owner reviews this policy at least every 12 months, and sooner when we adopt significant new AI capability, when the law or guidance changes, after a significant incident, or when a vendor materially changes its terms.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1600"/>
        <w:gridCol w:w="4838"/>
        <w:gridCol w:w="2100"/>
      </w:tblGrid>
      <w:tr>
        <w:trPr>
          <w:tblHeader/>
        </w:trPr>
        <w:tc>
          <w:tcPr>
            <w:tcW w:type="dxa" w:w="11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Version</w:t>
            </w:r>
          </w:p>
        </w:tc>
        <w:tc>
          <w:tcPr>
            <w:tcW w:type="dxa" w:w="16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Date</w:t>
            </w:r>
          </w:p>
        </w:tc>
        <w:tc>
          <w:tcPr>
            <w:tcW w:type="dxa" w:w="4838"/>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Summary of changes</w:t>
            </w:r>
          </w:p>
        </w:tc>
        <w:tc>
          <w:tcPr>
            <w:tcW w:type="dxa" w:w="21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Approved by</w:t>
            </w:r>
          </w:p>
        </w:tc>
      </w:tr>
      <w:tr>
        <w:tc>
          <w:tcPr>
            <w:tcW w:type="dxa" w:w="11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[1.0]</w:t>
            </w:r>
          </w:p>
        </w:tc>
        <w:tc>
          <w:tcPr>
            <w:tcW w:type="dxa" w:w="16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[DD/MM/YYYY]</w:t>
            </w:r>
          </w:p>
        </w:tc>
        <w:tc>
          <w:tcPr>
            <w:tcW w:type="dxa" w:w="48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First version, based on the Belton IT Nexus template (October 2026 edition)</w:t>
            </w:r>
          </w:p>
        </w:tc>
        <w:tc>
          <w:tcPr>
            <w:tcW w:type="dxa" w:w="21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[Name]</w:t>
            </w:r>
          </w:p>
        </w:tc>
      </w:tr>
      <w:tr>
        <w:tc>
          <w:tcPr>
            <w:tcW w:type="dxa" w:w="11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c>
          <w:tcPr>
            <w:tcW w:type="dxa" w:w="16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c>
          <w:tcPr>
            <w:tcW w:type="dxa" w:w="48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c>
          <w:tcPr>
            <w:tcW w:type="dxa" w:w="21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r>
    </w:tbl>
    <w:p>
      <w:r>
        <w:br w:type="page"/>
      </w:r>
    </w:p>
    <w:p>
      <w:pPr>
        <w:pStyle w:val="Heading1"/>
        <w:keepNext/>
      </w:pPr>
      <w:r>
        <w:t xml:space="preserve">Appendix A: AI register</w:t>
      </w:r>
    </w:p>
    <w:p>
      <w:pPr>
        <w:spacing w:after="120"/>
      </w:pPr>
      <w:r>
        <w:t xml:space="preserve">Keep one row for every AI tool, feature, agent and automation in use. MBIE and Australia's National AI Centre both recommend keeping a register. It is also the first thing a client, insurer or auditor will ask for.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1150"/>
        <w:gridCol w:w="800"/>
        <w:gridCol w:w="1000"/>
        <w:gridCol w:w="1000"/>
        <w:gridCol w:w="850"/>
        <w:gridCol w:w="850"/>
        <w:gridCol w:w="950"/>
        <w:gridCol w:w="900"/>
        <w:gridCol w:w="938"/>
      </w:tblGrid>
      <w:tr>
        <w:trPr>
          <w:tblHeader/>
        </w:trPr>
        <w:tc>
          <w:tcPr>
            <w:tcW w:type="dxa" w:w="12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Tool or system</w:t>
            </w:r>
          </w:p>
        </w:tc>
        <w:tc>
          <w:tcPr>
            <w:tcW w:type="dxa" w:w="115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Use case</w:t>
            </w:r>
          </w:p>
        </w:tc>
        <w:tc>
          <w:tcPr>
            <w:tcW w:type="dxa" w:w="8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Owner</w:t>
            </w:r>
          </w:p>
        </w:tc>
        <w:tc>
          <w:tcPr>
            <w:tcW w:type="dxa" w:w="10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Account / licence</w:t>
            </w:r>
          </w:p>
        </w:tc>
        <w:tc>
          <w:tcPr>
            <w:tcW w:type="dxa" w:w="10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Highest info class</w:t>
            </w:r>
          </w:p>
        </w:tc>
        <w:tc>
          <w:tcPr>
            <w:tcW w:type="dxa" w:w="85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Personal info?</w:t>
            </w:r>
          </w:p>
        </w:tc>
        <w:tc>
          <w:tcPr>
            <w:tcW w:type="dxa" w:w="85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Screen done?</w:t>
            </w:r>
          </w:p>
        </w:tc>
        <w:tc>
          <w:tcPr>
            <w:tcW w:type="dxa" w:w="95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Agent access</w:t>
            </w:r>
          </w:p>
        </w:tc>
        <w:tc>
          <w:tcPr>
            <w:tcW w:type="dxa" w:w="9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Approved</w:t>
            </w:r>
          </w:p>
        </w:tc>
        <w:tc>
          <w:tcPr>
            <w:tcW w:type="dxa" w:w="938"/>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Next review</w:t>
            </w:r>
          </w:p>
        </w:tc>
      </w:tr>
      <w:tr>
        <w:tc>
          <w:tcPr>
            <w:tcW w:type="dxa" w:w="12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[Copilot Chat]</w:t>
            </w:r>
          </w:p>
        </w:tc>
        <w:tc>
          <w:tcPr>
            <w:tcW w:type="dxa" w:w="115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[Drafting, summaries]</w:t>
            </w:r>
          </w:p>
        </w:tc>
        <w:tc>
          <w:tcPr>
            <w:tcW w:type="dxa" w:w="8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 ]</w:t>
            </w:r>
          </w:p>
        </w:tc>
        <w:tc>
          <w:tcPr>
            <w:tcW w:type="dxa" w:w="10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[Work, M365]</w:t>
            </w:r>
          </w:p>
        </w:tc>
        <w:tc>
          <w:tcPr>
            <w:tcW w:type="dxa" w:w="10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[Confidential]</w:t>
            </w:r>
          </w:p>
        </w:tc>
        <w:tc>
          <w:tcPr>
            <w:tcW w:type="dxa" w:w="85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[Y]</w:t>
            </w:r>
          </w:p>
        </w:tc>
        <w:tc>
          <w:tcPr>
            <w:tcW w:type="dxa" w:w="85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[N/A]</w:t>
            </w:r>
          </w:p>
        </w:tc>
        <w:tc>
          <w:tcPr>
            <w:tcW w:type="dxa" w:w="95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[None]</w:t>
            </w:r>
          </w:p>
        </w:tc>
        <w:tc>
          <w:tcPr>
            <w:tcW w:type="dxa" w:w="9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[date]</w:t>
            </w:r>
          </w:p>
        </w:tc>
        <w:tc>
          <w:tcPr>
            <w:tcW w:type="dxa" w:w="9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[date]</w:t>
            </w:r>
          </w:p>
        </w:tc>
      </w:tr>
      <w:tr>
        <w:tc>
          <w:tcPr>
            <w:tcW w:type="dxa" w:w="12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c>
          <w:tcPr>
            <w:tcW w:type="dxa" w:w="115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c>
          <w:tcPr>
            <w:tcW w:type="dxa" w:w="8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c>
          <w:tcPr>
            <w:tcW w:type="dxa" w:w="10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c>
          <w:tcPr>
            <w:tcW w:type="dxa" w:w="10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c>
          <w:tcPr>
            <w:tcW w:type="dxa" w:w="85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c>
          <w:tcPr>
            <w:tcW w:type="dxa" w:w="85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c>
          <w:tcPr>
            <w:tcW w:type="dxa" w:w="95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c>
          <w:tcPr>
            <w:tcW w:type="dxa" w:w="9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c>
          <w:tcPr>
            <w:tcW w:type="dxa" w:w="9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r>
      <w:tr>
        <w:tc>
          <w:tcPr>
            <w:tcW w:type="dxa" w:w="12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c>
          <w:tcPr>
            <w:tcW w:type="dxa" w:w="115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c>
          <w:tcPr>
            <w:tcW w:type="dxa" w:w="8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c>
          <w:tcPr>
            <w:tcW w:type="dxa" w:w="10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c>
          <w:tcPr>
            <w:tcW w:type="dxa" w:w="10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c>
          <w:tcPr>
            <w:tcW w:type="dxa" w:w="85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c>
          <w:tcPr>
            <w:tcW w:type="dxa" w:w="85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c>
          <w:tcPr>
            <w:tcW w:type="dxa" w:w="95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c>
          <w:tcPr>
            <w:tcW w:type="dxa" w:w="9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c>
          <w:tcPr>
            <w:tcW w:type="dxa" w:w="9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r>
    </w:tbl>
    <w:p>
      <w:pPr>
        <w:spacing w:after="120"/>
      </w:pPr>
    </w:p>
    <w:p>
      <w:pPr>
        <w:pStyle w:val="Heading2"/>
        <w:keepNext/>
      </w:pPr>
      <w:r>
        <w:t xml:space="preserve">AI incident log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2400"/>
        <w:gridCol w:w="1600"/>
        <w:gridCol w:w="1800"/>
        <w:gridCol w:w="1100"/>
        <w:gridCol w:w="1638"/>
      </w:tblGrid>
      <w:tr>
        <w:trPr>
          <w:tblHeader/>
        </w:trPr>
        <w:tc>
          <w:tcPr>
            <w:tcW w:type="dxa" w:w="11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Date</w:t>
            </w:r>
          </w:p>
        </w:tc>
        <w:tc>
          <w:tcPr>
            <w:tcW w:type="dxa" w:w="24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What happened</w:t>
            </w:r>
          </w:p>
        </w:tc>
        <w:tc>
          <w:tcPr>
            <w:tcW w:type="dxa" w:w="16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Information involved</w:t>
            </w:r>
          </w:p>
        </w:tc>
        <w:tc>
          <w:tcPr>
            <w:tcW w:type="dxa" w:w="18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Action taken</w:t>
            </w:r>
          </w:p>
        </w:tc>
        <w:tc>
          <w:tcPr>
            <w:tcW w:type="dxa" w:w="11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Notifiable?</w:t>
            </w:r>
          </w:p>
        </w:tc>
        <w:tc>
          <w:tcPr>
            <w:tcW w:type="dxa" w:w="1638"/>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Lessons</w:t>
            </w:r>
          </w:p>
        </w:tc>
      </w:tr>
      <w:tr>
        <w:tc>
          <w:tcPr>
            <w:tcW w:type="dxa" w:w="11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c>
          <w:tcPr>
            <w:tcW w:type="dxa" w:w="24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c>
          <w:tcPr>
            <w:tcW w:type="dxa" w:w="16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c>
          <w:tcPr>
            <w:tcW w:type="dxa" w:w="18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c>
          <w:tcPr>
            <w:tcW w:type="dxa" w:w="11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c>
          <w:tcPr>
            <w:tcW w:type="dxa" w:w="16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r>
      <w:tr>
        <w:tc>
          <w:tcPr>
            <w:tcW w:type="dxa" w:w="11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c>
          <w:tcPr>
            <w:tcW w:type="dxa" w:w="24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c>
          <w:tcPr>
            <w:tcW w:type="dxa" w:w="16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c>
          <w:tcPr>
            <w:tcW w:type="dxa" w:w="18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c>
          <w:tcPr>
            <w:tcW w:type="dxa" w:w="11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c>
          <w:tcPr>
            <w:tcW w:type="dxa" w:w="16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r>
    </w:tbl>
    <w:p>
      <w:r>
        <w:br w:type="page"/>
      </w:r>
    </w:p>
    <w:p>
      <w:pPr>
        <w:pStyle w:val="Heading1"/>
        <w:keepNext/>
      </w:pPr>
      <w:r>
        <w:t xml:space="preserve">Appendix B: AI account types at a glance (October 2026)</w:t>
      </w:r>
    </w:p>
    <w:p>
      <w:pPr>
        <w:spacing w:after="120"/>
      </w:pPr>
      <w:r>
        <w:t xml:space="preserve">This table shows why section 5 insists on work accounts. It summarises each vendor's published terms as checked on 26 October 2026. Vendors change their terms often, so check the current terms before you rely on this.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3700"/>
        <w:gridCol w:w="4238"/>
      </w:tblGrid>
      <w:tr>
        <w:trPr>
          <w:tblHeader/>
        </w:trPr>
        <w:tc>
          <w:tcPr>
            <w:tcW w:type="dxa" w:w="17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Vendor</w:t>
            </w:r>
          </w:p>
        </w:tc>
        <w:tc>
          <w:tcPr>
            <w:tcW w:type="dxa" w:w="37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Personal and free accounts</w:t>
            </w:r>
          </w:p>
        </w:tc>
        <w:tc>
          <w:tcPr>
            <w:tcW w:type="dxa" w:w="4238"/>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Business accounts</w:t>
            </w:r>
          </w:p>
        </w:tc>
      </w:tr>
      <w:tr>
        <w:tc>
          <w:tcPr>
            <w:tcW w:type="dxa" w:w="17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b/>
                <w:bCs/>
              </w:rPr>
              <w:t xml:space="preserve">Microsoft Copilot</w:t>
            </w:r>
          </w:p>
        </w:tc>
        <w:tc>
          <w:tcPr>
            <w:tcW w:type="dxa" w:w="37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Personal Microsoft account: conversations may be used to train models unless the user opts out. Not for business data.</w:t>
            </w:r>
          </w:p>
        </w:tc>
        <w:tc>
          <w:tcPr>
            <w:tcW w:type="dxa" w:w="42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Copilot and Copilot Chat with a work account (green shield): prompts and responses are not used to train foundation models. Covered by Microsoft's data protection terms, and respects your permissions, sensitivity labels and retention policies.</w:t>
            </w:r>
          </w:p>
        </w:tc>
      </w:tr>
      <w:tr>
        <w:tc>
          <w:tcPr>
            <w:tcW w:type="dxa" w:w="17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rPr>
                <w:b/>
                <w:bCs/>
              </w:rPr>
              <w:t xml:space="preserve">OpenAI ChatGPT</w:t>
            </w:r>
          </w:p>
        </w:tc>
        <w:tc>
          <w:tcPr>
            <w:tcW w:type="dxa" w:w="37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Free, Plus and Pro: chats are used to improve models unless "Improve the model for everyone" is turned off. Temporary chats are not used for training and are deleted after 30 days.</w:t>
            </w:r>
          </w:p>
        </w:tc>
        <w:tc>
          <w:tcPr>
            <w:tcW w:type="dxa" w:w="42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Business, Enterprise, Edu and the API: not used for training by default. Business has single sign-on. Enterprise adds user provisioning, retention controls and compliance tools.</w:t>
            </w:r>
          </w:p>
        </w:tc>
      </w:tr>
      <w:tr>
        <w:tc>
          <w:tcPr>
            <w:tcW w:type="dxa" w:w="17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b/>
                <w:bCs/>
              </w:rPr>
              <w:t xml:space="preserve">Anthropic Claude</w:t>
            </w:r>
          </w:p>
        </w:tc>
        <w:tc>
          <w:tcPr>
            <w:tcW w:type="dxa" w:w="37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Free, Pro and Max: since October 2025 each user chooses whether chats train models. If training is allowed, data can be kept for up to five years.</w:t>
            </w:r>
          </w:p>
        </w:tc>
        <w:tc>
          <w:tcPr>
            <w:tcW w:type="dxa" w:w="42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Team, Enterprise and the API: not used for training by default (Commercial Terms). Enterprise adds custom retention, single sign-on and audit logs.</w:t>
            </w:r>
          </w:p>
        </w:tc>
      </w:tr>
      <w:tr>
        <w:tc>
          <w:tcPr>
            <w:tcW w:type="dxa" w:w="17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rPr>
                <w:b/>
                <w:bCs/>
              </w:rPr>
              <w:t xml:space="preserve">Google Gemini</w:t>
            </w:r>
          </w:p>
        </w:tc>
        <w:tc>
          <w:tcPr>
            <w:tcW w:type="dxa" w:w="37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Gemini app with a personal Google account: chats are used to improve Google's models while Keep Activity is on, and some are read by human reviewers.</w:t>
            </w:r>
          </w:p>
        </w:tc>
        <w:tc>
          <w:tcPr>
            <w:tcW w:type="dxa" w:w="42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Gemini in Google Workspace: content is not used to train models outside your organisation without permission.</w:t>
            </w:r>
          </w:p>
        </w:tc>
      </w:tr>
    </w:tbl>
    <w:p>
      <w:pPr>
        <w:spacing w:after="120"/>
      </w:pPr>
    </w:p>
    <w:p>
      <w:pPr>
        <w:spacing w:after="120"/>
      </w:pPr>
      <w:r>
        <w:rPr>
          <w:b/>
          <w:bCs/>
        </w:rPr>
        <w:t xml:space="preserve">Where data goes.</w:t>
      </w:r>
      <w:r>
        <w:t xml:space="preserve"> None of these vendors processes data in New Zealand. Business data is generally processed in the United States, Europe or Australia, depending on the product and plan. Ask your IT provider which regions apply to the plans you hold.</w:t>
      </w:r>
    </w:p>
    <w:p>
      <w:r>
        <w:br w:type="page"/>
      </w:r>
    </w:p>
    <w:p>
      <w:pPr>
        <w:pStyle w:val="Heading1"/>
        <w:keepNext/>
      </w:pPr>
      <w:r>
        <w:t xml:space="preserve">Appendix C: Higher-risk use and privacy screen</w:t>
      </w:r>
    </w:p>
    <w:p>
      <w:pPr>
        <w:spacing w:after="120"/>
      </w:pPr>
      <w:r>
        <w:t xml:space="preserve">Complete this before any use covered by 7.2 or 9.2. If any answer raises a concern, the AI owner and privacy officer agree the safeguards before the use goes ahead. Keep the completed screen with the AI register.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00"/>
        <w:gridCol w:w="4600"/>
        <w:gridCol w:w="4538"/>
      </w:tblGrid>
      <w:tr>
        <w:trPr>
          <w:tblHeader/>
        </w:trPr>
        <w:tc>
          <w:tcPr>
            <w:tcW w:type="dxa" w:w="5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w:t>
            </w:r>
          </w:p>
        </w:tc>
        <w:tc>
          <w:tcPr>
            <w:tcW w:type="dxa" w:w="46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Question</w:t>
            </w:r>
          </w:p>
        </w:tc>
        <w:tc>
          <w:tcPr>
            <w:tcW w:type="dxa" w:w="4538"/>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Answer and safeguards</w:t>
            </w:r>
          </w:p>
        </w:tc>
      </w:tr>
      <w:tr>
        <w:tc>
          <w:tcPr>
            <w:tcW w:type="dxa" w:w="5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1</w:t>
            </w:r>
          </w:p>
        </w:tc>
        <w:tc>
          <w:tcPr>
            <w:tcW w:type="dxa" w:w="46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What will the AI do, and what problem does it solve? Is AI necessary and proportionate for it?</w:t>
            </w:r>
          </w:p>
        </w:tc>
        <w:tc>
          <w:tcPr>
            <w:tcW w:type="dxa" w:w="45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r>
      <w:tr>
        <w:tc>
          <w:tcPr>
            <w:tcW w:type="dxa" w:w="5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2</w:t>
            </w:r>
          </w:p>
        </w:tc>
        <w:tc>
          <w:tcPr>
            <w:tcW w:type="dxa" w:w="46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Who is affected: staff, customers, members of the public, children?</w:t>
            </w:r>
          </w:p>
        </w:tc>
        <w:tc>
          <w:tcPr>
            <w:tcW w:type="dxa" w:w="45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r>
      <w:tr>
        <w:tc>
          <w:tcPr>
            <w:tcW w:type="dxa" w:w="5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3</w:t>
            </w:r>
          </w:p>
        </w:tc>
        <w:tc>
          <w:tcPr>
            <w:tcW w:type="dxa" w:w="46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What personal information is involved? Any health, financial, biometric or other sensitive information?</w:t>
            </w:r>
          </w:p>
        </w:tc>
        <w:tc>
          <w:tcPr>
            <w:tcW w:type="dxa" w:w="45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r>
      <w:tr>
        <w:tc>
          <w:tcPr>
            <w:tcW w:type="dxa" w:w="5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4</w:t>
            </w:r>
          </w:p>
        </w:tc>
        <w:tc>
          <w:tcPr>
            <w:tcW w:type="dxa" w:w="46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Will the AI make or influence a decision about a person? Who is the human decision-maker?</w:t>
            </w:r>
          </w:p>
        </w:tc>
        <w:tc>
          <w:tcPr>
            <w:tcW w:type="dxa" w:w="45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r>
      <w:tr>
        <w:tc>
          <w:tcPr>
            <w:tcW w:type="dxa" w:w="5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5</w:t>
            </w:r>
          </w:p>
        </w:tc>
        <w:tc>
          <w:tcPr>
            <w:tcW w:type="dxa" w:w="46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How will we check accuracy before acting, and how often will we re-check?</w:t>
            </w:r>
          </w:p>
        </w:tc>
        <w:tc>
          <w:tcPr>
            <w:tcW w:type="dxa" w:w="45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r>
      <w:tr>
        <w:tc>
          <w:tcPr>
            <w:tcW w:type="dxa" w:w="5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6</w:t>
            </w:r>
          </w:p>
        </w:tc>
        <w:tc>
          <w:tcPr>
            <w:tcW w:type="dxa" w:w="46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Could the results be unfair to any group? How will we test for that?</w:t>
            </w:r>
          </w:p>
        </w:tc>
        <w:tc>
          <w:tcPr>
            <w:tcW w:type="dxa" w:w="45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r>
      <w:tr>
        <w:tc>
          <w:tcPr>
            <w:tcW w:type="dxa" w:w="5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7</w:t>
            </w:r>
          </w:p>
        </w:tc>
        <w:tc>
          <w:tcPr>
            <w:tcW w:type="dxa" w:w="46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How will affected people know AI is involved? Do we need to update our privacy statement?</w:t>
            </w:r>
          </w:p>
        </w:tc>
        <w:tc>
          <w:tcPr>
            <w:tcW w:type="dxa" w:w="45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r>
      <w:tr>
        <w:tc>
          <w:tcPr>
            <w:tcW w:type="dxa" w:w="5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8</w:t>
            </w:r>
          </w:p>
        </w:tc>
        <w:tc>
          <w:tcPr>
            <w:tcW w:type="dxa" w:w="46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Is personal information collected from sources other than the person (IPP 3A notice)?</w:t>
            </w:r>
          </w:p>
        </w:tc>
        <w:tc>
          <w:tcPr>
            <w:tcW w:type="dxa" w:w="45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r>
      <w:tr>
        <w:tc>
          <w:tcPr>
            <w:tcW w:type="dxa" w:w="5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9</w:t>
            </w:r>
          </w:p>
        </w:tc>
        <w:tc>
          <w:tcPr>
            <w:tcW w:type="dxa" w:w="46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Which vendor and plan? Is it approved, where is data processed, and is it used for training?</w:t>
            </w:r>
          </w:p>
        </w:tc>
        <w:tc>
          <w:tcPr>
            <w:tcW w:type="dxa" w:w="45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r>
      <w:tr>
        <w:tc>
          <w:tcPr>
            <w:tcW w:type="dxa" w:w="5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10</w:t>
            </w:r>
          </w:p>
        </w:tc>
        <w:tc>
          <w:tcPr>
            <w:tcW w:type="dxa" w:w="46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Does it involve Māori data, people in the EU, or a client contract that restricts AI use?</w:t>
            </w:r>
          </w:p>
        </w:tc>
        <w:tc>
          <w:tcPr>
            <w:tcW w:type="dxa" w:w="45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r>
      <w:tr>
        <w:tc>
          <w:tcPr>
            <w:tcW w:type="dxa" w:w="5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11</w:t>
            </w:r>
          </w:p>
        </w:tc>
        <w:tc>
          <w:tcPr>
            <w:tcW w:type="dxa" w:w="46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If it is an agent: what can it access, what needs human approval, and how is it logged and stopped?</w:t>
            </w:r>
          </w:p>
        </w:tc>
        <w:tc>
          <w:tcPr>
            <w:tcW w:type="dxa" w:w="45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r>
      <w:tr>
        <w:tc>
          <w:tcPr>
            <w:tcW w:type="dxa" w:w="5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12</w:t>
            </w:r>
          </w:p>
        </w:tc>
        <w:tc>
          <w:tcPr>
            <w:tcW w:type="dxa" w:w="46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What could go wrong, and how would we notice and switch it off?</w:t>
            </w:r>
          </w:p>
        </w:tc>
        <w:tc>
          <w:tcPr>
            <w:tcW w:type="dxa" w:w="45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00"/>
        <w:gridCol w:w="5638"/>
      </w:tblGrid>
      <w:tr>
        <w:trPr>
          <w:tblHeader/>
        </w:trPr>
        <w:tc>
          <w:tcPr>
            <w:tcW w:type="dxa" w:w="40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Approval</w:t>
            </w:r>
          </w:p>
        </w:tc>
        <w:tc>
          <w:tcPr>
            <w:tcW w:type="dxa" w:w="5638"/>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p>
        </w:tc>
      </w:tr>
      <w:tr>
        <w:tc>
          <w:tcPr>
            <w:tcW w:type="dxa" w:w="40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AI owner</w:t>
            </w:r>
          </w:p>
        </w:tc>
        <w:tc>
          <w:tcPr>
            <w:tcW w:type="dxa" w:w="56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[Name, date]</w:t>
            </w:r>
          </w:p>
        </w:tc>
      </w:tr>
      <w:tr>
        <w:tc>
          <w:tcPr>
            <w:tcW w:type="dxa" w:w="40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Privacy officer</w:t>
            </w:r>
          </w:p>
        </w:tc>
        <w:tc>
          <w:tcPr>
            <w:tcW w:type="dxa" w:w="56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rPr>
                <w:highlight w:val="yellow"/>
              </w:rPr>
              <w:t xml:space="preserve">[Name, date]</w:t>
            </w:r>
          </w:p>
        </w:tc>
      </w:tr>
      <w:tr>
        <w:tc>
          <w:tcPr>
            <w:tcW w:type="dxa" w:w="40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Senior leadership (where personal information is involved)</w:t>
            </w:r>
          </w:p>
        </w:tc>
        <w:tc>
          <w:tcPr>
            <w:tcW w:type="dxa" w:w="56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rPr>
                <w:highlight w:val="yellow"/>
              </w:rPr>
              <w:t xml:space="preserve">[Name, date]</w:t>
            </w:r>
          </w:p>
        </w:tc>
      </w:tr>
    </w:tbl>
    <w:p>
      <w:r>
        <w:br w:type="page"/>
      </w:r>
    </w:p>
    <w:p>
      <w:pPr>
        <w:pStyle w:val="Heading1"/>
        <w:keepNext/>
      </w:pPr>
      <w:r>
        <w:t xml:space="preserve">Appendix D: Australian businesses</w:t>
      </w:r>
    </w:p>
    <w:p>
      <w:pPr>
        <w:spacing w:after="120"/>
      </w:pPr>
      <w:r>
        <w:t xml:space="preserve">The policy works for Australian businesses with these changes.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00"/>
        <w:gridCol w:w="5438"/>
      </w:tblGrid>
      <w:tr>
        <w:trPr>
          <w:tblHeader/>
        </w:trPr>
        <w:tc>
          <w:tcPr>
            <w:tcW w:type="dxa" w:w="4200"/>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Replace</w:t>
            </w:r>
          </w:p>
        </w:tc>
        <w:tc>
          <w:tcPr>
            <w:tcW w:type="dxa" w:w="5438"/>
            <w:tcBorders>
              <w:top w:val="single" w:color="D8CFC2" w:sz="4"/>
              <w:left w:val="single" w:color="D8CFC2" w:sz="4"/>
              <w:bottom w:val="single" w:color="D8CFC2" w:sz="4"/>
              <w:right w:val="single" w:color="D8CFC2" w:sz="4"/>
            </w:tcBorders>
            <w:shd w:fill="15120F" w:color="auto" w:val="clear"/>
            <w:tcMar>
              <w:top w:type="dxa" w:w="70"/>
              <w:left w:type="dxa" w:w="110"/>
              <w:bottom w:type="dxa" w:w="70"/>
              <w:right w:type="dxa" w:w="110"/>
            </w:tcMar>
          </w:tcPr>
          <w:p>
            <w:pPr>
              <w:spacing w:after="40"/>
            </w:pPr>
            <w:r>
              <w:rPr>
                <w:b/>
                <w:bCs/>
                <w:color w:val="FFFFFF"/>
              </w:rPr>
              <w:t xml:space="preserve">With</w:t>
            </w:r>
          </w:p>
        </w:tc>
      </w:tr>
      <w:tr>
        <w:tc>
          <w:tcPr>
            <w:tcW w:type="dxa" w:w="42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Privacy Act 2020 (NZ) and the Privacy Commissioner</w:t>
            </w:r>
          </w:p>
        </w:tc>
        <w:tc>
          <w:tcPr>
            <w:tcW w:type="dxa" w:w="54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Privacy Act 1988 (Cth), the Australian Privacy Principles (APPs) and the Office of the Australian Information Commissioner (OAIC)</w:t>
            </w:r>
          </w:p>
        </w:tc>
      </w:tr>
      <w:tr>
        <w:tc>
          <w:tcPr>
            <w:tcW w:type="dxa" w:w="42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NCSC New Zealand, ncsc.govt.nz/report, 0800 114 115</w:t>
            </w:r>
          </w:p>
        </w:tc>
        <w:tc>
          <w:tcPr>
            <w:tcW w:type="dxa" w:w="54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Australian Signals Directorate's ACSC, cyber.gov.au, 1300 CYBER1 (1300 292 371)</w:t>
            </w:r>
          </w:p>
        </w:tc>
      </w:tr>
      <w:tr>
        <w:tc>
          <w:tcPr>
            <w:tcW w:type="dxa" w:w="42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Fair Trading Act 1986</w:t>
            </w:r>
          </w:p>
        </w:tc>
        <w:tc>
          <w:tcPr>
            <w:tcW w:type="dxa" w:w="54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Australian Consumer Law</w:t>
            </w:r>
          </w:p>
        </w:tc>
      </w:tr>
      <w:tr>
        <w:tc>
          <w:tcPr>
            <w:tcW w:type="dxa" w:w="42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Unsolicited Electronic Messages Act 2007</w:t>
            </w:r>
          </w:p>
        </w:tc>
        <w:tc>
          <w:tcPr>
            <w:tcW w:type="dxa" w:w="54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Spam Act 2003</w:t>
            </w:r>
          </w:p>
        </w:tc>
      </w:tr>
      <w:tr>
        <w:tc>
          <w:tcPr>
            <w:tcW w:type="dxa" w:w="42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Human Rights Act 1993</w:t>
            </w:r>
          </w:p>
        </w:tc>
        <w:tc>
          <w:tcPr>
            <w:tcW w:type="dxa" w:w="54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Federal and state anti-discrimination laws</w:t>
            </w:r>
          </w:p>
        </w:tc>
      </w:tr>
      <w:tr>
        <w:tc>
          <w:tcPr>
            <w:tcW w:type="dxa" w:w="42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Employment Relations Act 2000</w:t>
            </w:r>
          </w:p>
        </w:tc>
        <w:tc>
          <w:tcPr>
            <w:tcW w:type="dxa" w:w="54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Fair Work Act 2009 and state workplace surveillance laws</w:t>
            </w:r>
          </w:p>
        </w:tc>
      </w:tr>
      <w:tr>
        <w:tc>
          <w:tcPr>
            <w:tcW w:type="dxa" w:w="42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Section 7.4 (IPP 3A) and 7.5 (biometrics code)</w:t>
            </w:r>
          </w:p>
        </w:tc>
        <w:tc>
          <w:tcPr>
            <w:tcW w:type="dxa" w:w="54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APP 3 and APP 5 (collection and notification) and the sensitive information rules for biometric data</w:t>
            </w:r>
          </w:p>
        </w:tc>
      </w:tr>
    </w:tbl>
    <w:p>
      <w:pPr>
        <w:spacing w:after="120"/>
      </w:pPr>
    </w:p>
    <w:p>
      <w:pPr>
        <w:pStyle w:val="Heading2"/>
        <w:keepNext/>
      </w:pPr>
      <w:r>
        <w:t xml:space="preserve">Points specific to Australia</w:t>
      </w:r>
    </w:p>
    <w:p>
      <w:pPr>
        <w:pStyle w:val="ListParagraph"/>
        <w:numPr>
          <w:ilvl w:val="0"/>
          <w:numId w:val="3"/>
        </w:numPr>
        <w:spacing w:after="60"/>
      </w:pPr>
      <w:r>
        <w:rPr>
          <w:b/>
          <w:bCs/>
        </w:rPr>
        <w:t xml:space="preserve">OAIC guidance on commercially available AI (October 2024):</w:t>
      </w:r>
      <w:r>
        <w:t xml:space="preserve"> privacy obligations apply to personal information put into AI and to AI output containing it. Generating or inferring personal information is a collection under APP 3. As best practice, the OAIC recommends not entering personal information, particularly sensitive information, into publicly available generative AI tools.</w:t>
      </w:r>
    </w:p>
    <w:p>
      <w:pPr>
        <w:pStyle w:val="ListParagraph"/>
        <w:numPr>
          <w:ilvl w:val="0"/>
          <w:numId w:val="3"/>
        </w:numPr>
        <w:spacing w:after="60"/>
      </w:pPr>
      <w:r>
        <w:rPr>
          <w:b/>
          <w:bCs/>
        </w:rPr>
        <w:t xml:space="preserve">Automated decisions (from 10 December 2026):</w:t>
      </w:r>
      <w:r>
        <w:t xml:space="preserve"> if a computer program makes, or substantially and directly supports, decisions that could significantly affect people's rights or interests, your privacy policy must describe the kinds of personal information used and the kinds of decisions involved (APP 1.7 to 1.9).</w:t>
      </w:r>
    </w:p>
    <w:p>
      <w:pPr>
        <w:pStyle w:val="ListParagraph"/>
        <w:numPr>
          <w:ilvl w:val="0"/>
          <w:numId w:val="3"/>
        </w:numPr>
        <w:spacing w:after="60"/>
      </w:pPr>
      <w:r>
        <w:rPr>
          <w:b/>
          <w:bCs/>
        </w:rPr>
        <w:t xml:space="preserve">Notifiable Data Breaches scheme:</w:t>
      </w:r>
      <w:r>
        <w:t xml:space="preserve"> assess a suspected eligible data breach within 30 days, and notify the OAIC and affected individuals as soon as practicable once a breach is likely to result in serious harm.</w:t>
      </w:r>
    </w:p>
    <w:p>
      <w:pPr>
        <w:pStyle w:val="ListParagraph"/>
        <w:numPr>
          <w:ilvl w:val="0"/>
          <w:numId w:val="3"/>
        </w:numPr>
        <w:spacing w:after="60"/>
      </w:pPr>
      <w:r>
        <w:rPr>
          <w:b/>
          <w:bCs/>
        </w:rPr>
        <w:t xml:space="preserve">Guidance for AI Adoption (National AI Centre, October 2025):</w:t>
      </w:r>
      <w:r>
        <w:t xml:space="preserve"> sets out six essential practices: decide who is accountable, understand impacts and plan accordingly, measure and manage risks, share essential information, test and monitor, and maintain human control. This policy, the AI register and the screen in Appendix C cover them.</w:t>
      </w:r>
    </w:p>
    <w:p>
      <w:pPr>
        <w:pStyle w:val="ListParagraph"/>
        <w:numPr>
          <w:ilvl w:val="0"/>
          <w:numId w:val="3"/>
        </w:numPr>
        <w:spacing w:after="60"/>
      </w:pPr>
      <w:r>
        <w:rPr>
          <w:b/>
          <w:bCs/>
        </w:rPr>
        <w:t xml:space="preserve">Small business exemption:</w:t>
      </w:r>
      <w:r>
        <w:t xml:space="preserve"> businesses with annual turnover of $3 million or less are generally exempt from the Privacy Act 1988, with important exceptions such as health service providers. Following this policy is still good practice and is often required by larger customers.</w:t>
      </w:r>
    </w:p>
    <w:p>
      <w:r>
        <w:br w:type="page"/>
      </w:r>
    </w:p>
    <w:p>
      <w:pPr>
        <w:pStyle w:val="Heading1"/>
        <w:keepNext/>
      </w:pPr>
      <w:r>
        <w:t xml:space="preserve">Appendix E: Sources and further reading</w:t>
      </w:r>
    </w:p>
    <w:p>
      <w:pPr>
        <w:spacing w:after="120"/>
      </w:pPr>
      <w:r>
        <w:t xml:space="preserve">Checked against these primary sources on 26 October 2026.</w:t>
      </w:r>
    </w:p>
    <w:p>
      <w:pPr>
        <w:pStyle w:val="Heading2"/>
        <w:keepNext/>
      </w:pPr>
      <w:r>
        <w:t xml:space="preserve">New Zealand</w:t>
      </w:r>
    </w:p>
    <w:p>
      <w:pPr>
        <w:pStyle w:val="ListParagraph"/>
        <w:numPr>
          <w:ilvl w:val="0"/>
          <w:numId w:val="3"/>
        </w:numPr>
        <w:spacing w:after="70"/>
      </w:pPr>
      <w:r>
        <w:rPr>
          <w:b/>
          <w:bCs/>
        </w:rPr>
        <w:t xml:space="preserve">Privacy Commissioner: generative AI expectations</w:t>
      </w:r>
      <w:r>
        <w:t xml:space="preserve">. Eight expectations, including leadership approval, a privacy impact assessment and human review </w:t>
      </w:r>
      <w:hyperlink w:history="1" r:id="rIdizbrvgodv_ua_pphq6crw">
        <w:r>
          <w:rPr>
            <w:rStyle w:val="Hyperlink"/>
          </w:rPr>
          <w:t xml:space="preserve">www.privacy.org.nz/resources-and-learning/a-z-topics/ai/generative-artificial-intelligence/</w:t>
        </w:r>
      </w:hyperlink>
    </w:p>
    <w:p>
      <w:pPr>
        <w:pStyle w:val="ListParagraph"/>
        <w:numPr>
          <w:ilvl w:val="0"/>
          <w:numId w:val="3"/>
        </w:numPr>
        <w:spacing w:after="70"/>
      </w:pPr>
      <w:r>
        <w:rPr>
          <w:b/>
          <w:bCs/>
        </w:rPr>
        <w:t xml:space="preserve">Privacy Commissioner: IPP 3A guidance</w:t>
      </w:r>
      <w:r>
        <w:t xml:space="preserve">. In force from 1 May 2026 </w:t>
      </w:r>
      <w:hyperlink w:history="1" r:id="rId8f5l27bqxkf-hcntax1o_">
        <w:r>
          <w:rPr>
            <w:rStyle w:val="Hyperlink"/>
          </w:rPr>
          <w:t xml:space="preserve">www.privacy.org.nz/resources-and-learning/a-z-topics/ipp3a/</w:t>
        </w:r>
      </w:hyperlink>
    </w:p>
    <w:p>
      <w:pPr>
        <w:pStyle w:val="ListParagraph"/>
        <w:numPr>
          <w:ilvl w:val="0"/>
          <w:numId w:val="3"/>
        </w:numPr>
        <w:spacing w:after="70"/>
      </w:pPr>
      <w:r>
        <w:rPr>
          <w:b/>
          <w:bCs/>
        </w:rPr>
        <w:t xml:space="preserve">Privacy Commissioner: NotifyUs (breach notification)</w:t>
      </w:r>
      <w:r>
        <w:t xml:space="preserve"> </w:t>
      </w:r>
      <w:hyperlink w:history="1" r:id="rIdqhjccsmwfzbzfsqvusgxy">
        <w:r>
          <w:rPr>
            <w:rStyle w:val="Hyperlink"/>
          </w:rPr>
          <w:t xml:space="preserve">www.privacy.org.nz/notifyus</w:t>
        </w:r>
      </w:hyperlink>
    </w:p>
    <w:p>
      <w:pPr>
        <w:pStyle w:val="ListParagraph"/>
        <w:numPr>
          <w:ilvl w:val="0"/>
          <w:numId w:val="3"/>
        </w:numPr>
        <w:spacing w:after="70"/>
      </w:pPr>
      <w:r>
        <w:rPr>
          <w:b/>
          <w:bCs/>
        </w:rPr>
        <w:t xml:space="preserve">Biometric Processing Privacy Code 2025</w:t>
      </w:r>
      <w:r>
        <w:t xml:space="preserve"> </w:t>
      </w:r>
      <w:hyperlink w:history="1" r:id="rIdmtovjwudqjkqau6baq_ak">
        <w:r>
          <w:rPr>
            <w:rStyle w:val="Hyperlink"/>
          </w:rPr>
          <w:t xml:space="preserve">www.privacy.org.nz/privacy-principles/codes-of-practice/biometric-processing-privacy-code</w:t>
        </w:r>
      </w:hyperlink>
    </w:p>
    <w:p>
      <w:pPr>
        <w:pStyle w:val="ListParagraph"/>
        <w:numPr>
          <w:ilvl w:val="0"/>
          <w:numId w:val="3"/>
        </w:numPr>
        <w:spacing w:after="70"/>
      </w:pPr>
      <w:r>
        <w:rPr>
          <w:b/>
          <w:bCs/>
        </w:rPr>
        <w:t xml:space="preserve">MBIE: Responsible AI Guidance for Businesses</w:t>
      </w:r>
      <w:r>
        <w:t xml:space="preserve"> </w:t>
      </w:r>
      <w:hyperlink w:history="1" r:id="rIdnk1npveocrf8neodxppbz">
        <w:r>
          <w:rPr>
            <w:rStyle w:val="Hyperlink"/>
          </w:rPr>
          <w:t xml:space="preserve">www.mbie.govt.nz/business-and-employment/business/support-for-business/responsible-ai-guidance-for-businesses</w:t>
        </w:r>
      </w:hyperlink>
    </w:p>
    <w:p>
      <w:pPr>
        <w:pStyle w:val="ListParagraph"/>
        <w:numPr>
          <w:ilvl w:val="0"/>
          <w:numId w:val="3"/>
        </w:numPr>
        <w:spacing w:after="70"/>
      </w:pPr>
      <w:r>
        <w:rPr>
          <w:b/>
          <w:bCs/>
        </w:rPr>
        <w:t xml:space="preserve">MBIE: New Zealand's Strategy for Artificial Intelligence (July 2025)</w:t>
      </w:r>
      <w:r>
        <w:t xml:space="preserve"> </w:t>
      </w:r>
      <w:hyperlink w:history="1" r:id="rIdnetutphct8stmldmk_ew3">
        <w:r>
          <w:rPr>
            <w:rStyle w:val="Hyperlink"/>
          </w:rPr>
          <w:t xml:space="preserve">www.mbie.govt.nz/business-and-employment/economic-growth/digital-policy/new-zealands-ai-strategy-investing-with-confidence</w:t>
        </w:r>
      </w:hyperlink>
    </w:p>
    <w:p>
      <w:pPr>
        <w:pStyle w:val="ListParagraph"/>
        <w:numPr>
          <w:ilvl w:val="0"/>
          <w:numId w:val="3"/>
        </w:numPr>
        <w:spacing w:after="70"/>
      </w:pPr>
      <w:r>
        <w:rPr>
          <w:b/>
          <w:bCs/>
        </w:rPr>
        <w:t xml:space="preserve">NCSC NZ and partners: Careful adoption of agentic AI services (May 2026)</w:t>
      </w:r>
      <w:r>
        <w:t xml:space="preserve"> </w:t>
      </w:r>
      <w:hyperlink w:history="1" r:id="rIdal_iihcyid2-0tf3brgs5">
        <w:r>
          <w:rPr>
            <w:rStyle w:val="Hyperlink"/>
          </w:rPr>
          <w:t xml:space="preserve">www.ncsc.govt.nz/protect-your-organisation/careful-adoption-of-agentic-ai-services/</w:t>
        </w:r>
      </w:hyperlink>
    </w:p>
    <w:p>
      <w:pPr>
        <w:pStyle w:val="ListParagraph"/>
        <w:numPr>
          <w:ilvl w:val="0"/>
          <w:numId w:val="3"/>
        </w:numPr>
        <w:spacing w:after="70"/>
      </w:pPr>
      <w:r>
        <w:rPr>
          <w:b/>
          <w:bCs/>
        </w:rPr>
        <w:t xml:space="preserve">NCSC NZ and partners: AI data security (May 2025)</w:t>
      </w:r>
      <w:r>
        <w:t xml:space="preserve"> </w:t>
      </w:r>
      <w:hyperlink w:history="1" r:id="rIdgjlolbwkuqhukzcj5b29r">
        <w:r>
          <w:rPr>
            <w:rStyle w:val="Hyperlink"/>
          </w:rPr>
          <w:t xml:space="preserve">www.ncsc.govt.nz/protect-your-organisation/ai-data-security/</w:t>
        </w:r>
      </w:hyperlink>
    </w:p>
    <w:p>
      <w:pPr>
        <w:pStyle w:val="ListParagraph"/>
        <w:numPr>
          <w:ilvl w:val="0"/>
          <w:numId w:val="3"/>
        </w:numPr>
        <w:spacing w:after="70"/>
      </w:pPr>
      <w:r>
        <w:rPr>
          <w:b/>
          <w:bCs/>
        </w:rPr>
        <w:t xml:space="preserve">NCSC NZ: report a cyber incident</w:t>
      </w:r>
      <w:r>
        <w:t xml:space="preserve"> </w:t>
      </w:r>
      <w:hyperlink w:history="1" r:id="rIdmns6ergijl1hulj3wfdst">
        <w:r>
          <w:rPr>
            <w:rStyle w:val="Hyperlink"/>
          </w:rPr>
          <w:t xml:space="preserve">www.ncsc.govt.nz/report/</w:t>
        </w:r>
      </w:hyperlink>
    </w:p>
    <w:p>
      <w:pPr>
        <w:pStyle w:val="ListParagraph"/>
        <w:numPr>
          <w:ilvl w:val="0"/>
          <w:numId w:val="3"/>
        </w:numPr>
        <w:spacing w:after="70"/>
      </w:pPr>
      <w:r>
        <w:rPr>
          <w:b/>
          <w:bCs/>
        </w:rPr>
        <w:t xml:space="preserve">NZ Law Society: generative AI guidance for lawyers</w:t>
      </w:r>
      <w:r>
        <w:t xml:space="preserve"> </w:t>
      </w:r>
      <w:hyperlink w:history="1" r:id="rIdidxv_w8qulgkrgrixtgke">
        <w:r>
          <w:rPr>
            <w:rStyle w:val="Hyperlink"/>
          </w:rPr>
          <w:t xml:space="preserve">www.lawsociety.org.nz/professional-practice/rules-and-maintaining-professional-standards/generative-ai-guidance-for-lawyers/</w:t>
        </w:r>
      </w:hyperlink>
    </w:p>
    <w:p>
      <w:pPr>
        <w:pStyle w:val="ListParagraph"/>
        <w:numPr>
          <w:ilvl w:val="0"/>
          <w:numId w:val="3"/>
        </w:numPr>
        <w:spacing w:after="70"/>
      </w:pPr>
      <w:r>
        <w:rPr>
          <w:b/>
          <w:bCs/>
        </w:rPr>
        <w:t xml:space="preserve">Medical Council: using AI in patient care (March 2026)</w:t>
      </w:r>
      <w:r>
        <w:t xml:space="preserve"> </w:t>
      </w:r>
      <w:hyperlink w:history="1" r:id="rIdgd75-ixhpgffybh-s3xfk">
        <w:r>
          <w:rPr>
            <w:rStyle w:val="Hyperlink"/>
          </w:rPr>
          <w:t xml:space="preserve">www.mcnz.org.nz/about-us/news-and-updates/guidance-on-using-artificial-intelligence-in-patient-care/</w:t>
        </w:r>
      </w:hyperlink>
    </w:p>
    <w:p>
      <w:pPr>
        <w:pStyle w:val="ListParagraph"/>
        <w:numPr>
          <w:ilvl w:val="0"/>
          <w:numId w:val="3"/>
        </w:numPr>
        <w:spacing w:after="70"/>
      </w:pPr>
      <w:r>
        <w:rPr>
          <w:b/>
          <w:bCs/>
        </w:rPr>
        <w:t xml:space="preserve">Te Mana Raraunga: principles of Māori data sovereignty</w:t>
      </w:r>
      <w:r>
        <w:t xml:space="preserve"> </w:t>
      </w:r>
      <w:hyperlink w:history="1" r:id="rIdl5peqzdnfkm00iner0qbw">
        <w:r>
          <w:rPr>
            <w:rStyle w:val="Hyperlink"/>
          </w:rPr>
          <w:t xml:space="preserve">www.temanararaunga.maori.nz/principles-of-maori-data-sovereignty</w:t>
        </w:r>
      </w:hyperlink>
    </w:p>
    <w:p>
      <w:pPr>
        <w:pStyle w:val="Heading2"/>
        <w:keepNext/>
      </w:pPr>
      <w:r>
        <w:t xml:space="preserve">Australia</w:t>
      </w:r>
    </w:p>
    <w:p>
      <w:pPr>
        <w:pStyle w:val="ListParagraph"/>
        <w:numPr>
          <w:ilvl w:val="0"/>
          <w:numId w:val="3"/>
        </w:numPr>
        <w:spacing w:after="70"/>
      </w:pPr>
      <w:r>
        <w:rPr>
          <w:b/>
          <w:bCs/>
        </w:rPr>
        <w:t xml:space="preserve">OAIC: privacy and commercially available AI products</w:t>
      </w:r>
      <w:r>
        <w:t xml:space="preserve"> </w:t>
      </w:r>
      <w:hyperlink w:history="1" r:id="rId-mabpkxuf4z0f2_o6j7rd">
        <w:r>
          <w:rPr>
            <w:rStyle w:val="Hyperlink"/>
          </w:rPr>
          <w:t xml:space="preserve">www.oaic.gov.au/privacy/privacy-guidance-for-organisations-and-government-agencies/guidance-on-privacy-and-the-use-of-commercially-available-ai-products</w:t>
        </w:r>
      </w:hyperlink>
    </w:p>
    <w:p>
      <w:pPr>
        <w:pStyle w:val="ListParagraph"/>
        <w:numPr>
          <w:ilvl w:val="0"/>
          <w:numId w:val="3"/>
        </w:numPr>
        <w:spacing w:after="70"/>
      </w:pPr>
      <w:r>
        <w:rPr>
          <w:b/>
          <w:bCs/>
        </w:rPr>
        <w:t xml:space="preserve">OAIC: automated decision-making transparency (from 10 December 2026)</w:t>
      </w:r>
      <w:r>
        <w:t xml:space="preserve"> </w:t>
      </w:r>
      <w:hyperlink w:history="1" r:id="rIdoqpsb21izo6w85j-ve0p6">
        <w:r>
          <w:rPr>
            <w:rStyle w:val="Hyperlink"/>
          </w:rPr>
          <w:t xml:space="preserve">www.oaic.gov.au/news/media-centre/new-resources-on-transparency-for-use-of-ai-and-automated-decision-making</w:t>
        </w:r>
      </w:hyperlink>
    </w:p>
    <w:p>
      <w:pPr>
        <w:pStyle w:val="ListParagraph"/>
        <w:numPr>
          <w:ilvl w:val="0"/>
          <w:numId w:val="3"/>
        </w:numPr>
        <w:spacing w:after="70"/>
      </w:pPr>
      <w:r>
        <w:rPr>
          <w:b/>
          <w:bCs/>
        </w:rPr>
        <w:t xml:space="preserve">National AI Centre: Guidance for AI Adoption</w:t>
      </w:r>
      <w:r>
        <w:t xml:space="preserve"> </w:t>
      </w:r>
      <w:hyperlink w:history="1" r:id="rId5aczb7e-wvleqkyd3m3r6">
        <w:r>
          <w:rPr>
            <w:rStyle w:val="Hyperlink"/>
          </w:rPr>
          <w:t xml:space="preserve">www.industry.gov.au/publications/guidance-ai-adoption</w:t>
        </w:r>
      </w:hyperlink>
    </w:p>
    <w:p>
      <w:pPr>
        <w:pStyle w:val="Heading2"/>
        <w:keepNext/>
      </w:pPr>
      <w:r>
        <w:t xml:space="preserve">Vendors</w:t>
      </w:r>
    </w:p>
    <w:p>
      <w:pPr>
        <w:pStyle w:val="ListParagraph"/>
        <w:numPr>
          <w:ilvl w:val="0"/>
          <w:numId w:val="3"/>
        </w:numPr>
        <w:spacing w:after="70"/>
      </w:pPr>
      <w:r>
        <w:rPr>
          <w:b/>
          <w:bCs/>
        </w:rPr>
        <w:t xml:space="preserve">Microsoft: enterprise data protection in Copilot</w:t>
      </w:r>
      <w:r>
        <w:t xml:space="preserve"> </w:t>
      </w:r>
      <w:hyperlink w:history="1" r:id="rIdcvcsixiaroxj8mhelon5i">
        <w:r>
          <w:rPr>
            <w:rStyle w:val="Hyperlink"/>
          </w:rPr>
          <w:t xml:space="preserve">learn.microsoft.com/en-us/copilot/microsoft-365/enterprise-data-protection</w:t>
        </w:r>
      </w:hyperlink>
    </w:p>
    <w:p>
      <w:pPr>
        <w:pStyle w:val="ListParagraph"/>
        <w:numPr>
          <w:ilvl w:val="0"/>
          <w:numId w:val="3"/>
        </w:numPr>
        <w:spacing w:after="70"/>
      </w:pPr>
      <w:r>
        <w:rPr>
          <w:b/>
          <w:bCs/>
        </w:rPr>
        <w:t xml:space="preserve">OpenAI: enterprise privacy</w:t>
      </w:r>
      <w:r>
        <w:t xml:space="preserve"> </w:t>
      </w:r>
      <w:hyperlink w:history="1" r:id="rIdznivcihsyq25aticyf1p-">
        <w:r>
          <w:rPr>
            <w:rStyle w:val="Hyperlink"/>
          </w:rPr>
          <w:t xml:space="preserve">openai.com/enterprise-privacy/</w:t>
        </w:r>
      </w:hyperlink>
    </w:p>
    <w:p>
      <w:pPr>
        <w:pStyle w:val="ListParagraph"/>
        <w:numPr>
          <w:ilvl w:val="0"/>
          <w:numId w:val="3"/>
        </w:numPr>
        <w:spacing w:after="70"/>
      </w:pPr>
      <w:r>
        <w:rPr>
          <w:b/>
          <w:bCs/>
        </w:rPr>
        <w:t xml:space="preserve">Anthropic: updates to consumer terms (August 2025)</w:t>
      </w:r>
      <w:r>
        <w:t xml:space="preserve"> </w:t>
      </w:r>
      <w:hyperlink w:history="1" r:id="rIdtv_dkgm4_p5m_qcwop0en">
        <w:r>
          <w:rPr>
            <w:rStyle w:val="Hyperlink"/>
          </w:rPr>
          <w:t xml:space="preserve">www.anthropic.com/news/updates-to-our-consumer-terms</w:t>
        </w:r>
      </w:hyperlink>
    </w:p>
    <w:p>
      <w:pPr>
        <w:pStyle w:val="ListParagraph"/>
        <w:numPr>
          <w:ilvl w:val="0"/>
          <w:numId w:val="3"/>
        </w:numPr>
        <w:spacing w:after="70"/>
      </w:pPr>
      <w:r>
        <w:rPr>
          <w:b/>
          <w:bCs/>
        </w:rPr>
        <w:t xml:space="preserve">Google: generative AI in Workspace privacy hub</w:t>
      </w:r>
      <w:r>
        <w:t xml:space="preserve"> </w:t>
      </w:r>
      <w:hyperlink w:history="1" r:id="rIddss8giq8lsyyedyhsbamf">
        <w:r>
          <w:rPr>
            <w:rStyle w:val="Hyperlink"/>
          </w:rPr>
          <w:t xml:space="preserve">knowledge.workspace.google.com/admin/generative-ai/generative-ai-in-google-workspace-privacy-hub</w:t>
        </w:r>
      </w:hyperlink>
    </w:p>
    <w:p>
      <w:pPr>
        <w:pStyle w:val="Heading2"/>
        <w:keepNext/>
      </w:pPr>
      <w:r>
        <w:t xml:space="preserve">International frameworks</w:t>
      </w:r>
    </w:p>
    <w:p>
      <w:pPr>
        <w:pStyle w:val="ListParagraph"/>
        <w:numPr>
          <w:ilvl w:val="0"/>
          <w:numId w:val="3"/>
        </w:numPr>
        <w:spacing w:after="70"/>
      </w:pPr>
      <w:r>
        <w:rPr>
          <w:b/>
          <w:bCs/>
        </w:rPr>
        <w:t xml:space="preserve">NIST AI Risk Management Framework: Generative AI Profile (NIST AI 600-1)</w:t>
      </w:r>
      <w:r>
        <w:t xml:space="preserve"> </w:t>
      </w:r>
      <w:hyperlink w:history="1" r:id="rId_lrasf8lsm2ugjh8u9_rr">
        <w:r>
          <w:rPr>
            <w:rStyle w:val="Hyperlink"/>
          </w:rPr>
          <w:t xml:space="preserve">www.nist.gov/publications/artificial-intelligence-risk-management-framework-generative-artificial-intelligence</w:t>
        </w:r>
      </w:hyperlink>
    </w:p>
    <w:p>
      <w:pPr>
        <w:pStyle w:val="ListParagraph"/>
        <w:numPr>
          <w:ilvl w:val="0"/>
          <w:numId w:val="3"/>
        </w:numPr>
        <w:spacing w:after="70"/>
      </w:pPr>
      <w:r>
        <w:rPr>
          <w:b/>
          <w:bCs/>
        </w:rPr>
        <w:t xml:space="preserve">OWASP Top 10 for LLM Applications 2025</w:t>
      </w:r>
      <w:r>
        <w:t xml:space="preserve"> </w:t>
      </w:r>
      <w:hyperlink w:history="1" r:id="rIdbyh6bwduasybpi7-xsevv">
        <w:r>
          <w:rPr>
            <w:rStyle w:val="Hyperlink"/>
          </w:rPr>
          <w:t xml:space="preserve">genai.owasp.org/llm-top-10/</w:t>
        </w:r>
      </w:hyperlink>
    </w:p>
    <w:p>
      <w:pPr>
        <w:pStyle w:val="ListParagraph"/>
        <w:numPr>
          <w:ilvl w:val="0"/>
          <w:numId w:val="3"/>
        </w:numPr>
        <w:spacing w:after="70"/>
      </w:pPr>
      <w:r>
        <w:rPr>
          <w:b/>
          <w:bCs/>
        </w:rPr>
        <w:t xml:space="preserve">ISO/IEC 42001:2023 AI management systems</w:t>
      </w:r>
      <w:r>
        <w:t xml:space="preserve"> </w:t>
      </w:r>
      <w:hyperlink w:history="1" r:id="rIdobv21zgv3apyhc2wttrqy">
        <w:r>
          <w:rPr>
            <w:rStyle w:val="Hyperlink"/>
          </w:rPr>
          <w:t xml:space="preserve">www.iso.org/standard/42001</w:t>
        </w:r>
      </w:hyperlink>
    </w:p>
    <w:p>
      <w:r>
        <w:br w:type="page"/>
      </w:r>
    </w:p>
    <w:p>
      <w:pPr>
        <w:pStyle w:val="Heading1"/>
        <w:keepNext/>
      </w:pPr>
      <w:r>
        <w:t xml:space="preserve">Appendix F: Staff acknowledgement</w:t>
      </w:r>
    </w:p>
    <w:p>
      <w:pPr>
        <w:spacing w:after="120"/>
      </w:pPr>
      <w:r>
        <w:t xml:space="preserve">I have read and understood the </w:t>
      </w:r>
      <w:r>
        <w:rPr>
          <w:highlight w:val="yellow"/>
        </w:rPr>
        <w:t xml:space="preserve">[Company Name]</w:t>
      </w:r>
      <w:r>
        <w:t xml:space="preserve"> AI Acceptable Use and Governance Policy. I agree to follow it, and I know how to report a concern or an incident.</w:t>
      </w:r>
    </w:p>
    <w:p>
      <w:pPr>
        <w:spacing w:after="3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0"/>
        <w:gridCol w:w="7138"/>
      </w:tblGrid>
      <w:tr>
        <w:tc>
          <w:tcPr>
            <w:tcW w:type="dxa" w:w="25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Name</w:t>
            </w:r>
          </w:p>
        </w:tc>
        <w:tc>
          <w:tcPr>
            <w:tcW w:type="dxa" w:w="71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r>
      <w:tr>
        <w:tc>
          <w:tcPr>
            <w:tcW w:type="dxa" w:w="25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Role</w:t>
            </w:r>
          </w:p>
        </w:tc>
        <w:tc>
          <w:tcPr>
            <w:tcW w:type="dxa" w:w="71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r>
      <w:tr>
        <w:tc>
          <w:tcPr>
            <w:tcW w:type="dxa" w:w="2500"/>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r>
              <w:t xml:space="preserve">Signature</w:t>
            </w:r>
          </w:p>
        </w:tc>
        <w:tc>
          <w:tcPr>
            <w:tcW w:type="dxa" w:w="7138"/>
            <w:tcBorders>
              <w:top w:val="single" w:color="D8CFC2" w:sz="4"/>
              <w:left w:val="single" w:color="D8CFC2" w:sz="4"/>
              <w:bottom w:val="single" w:color="D8CFC2" w:sz="4"/>
              <w:right w:val="single" w:color="D8CFC2" w:sz="4"/>
            </w:tcBorders>
            <w:tcMar>
              <w:top w:type="dxa" w:w="70"/>
              <w:left w:type="dxa" w:w="110"/>
              <w:bottom w:type="dxa" w:w="70"/>
              <w:right w:type="dxa" w:w="110"/>
            </w:tcMar>
          </w:tcPr>
          <w:p>
            <w:pPr>
              <w:spacing w:after="40"/>
            </w:pPr>
          </w:p>
        </w:tc>
      </w:tr>
      <w:tr>
        <w:tc>
          <w:tcPr>
            <w:tcW w:type="dxa" w:w="2500"/>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r>
              <w:t xml:space="preserve">Date</w:t>
            </w:r>
          </w:p>
        </w:tc>
        <w:tc>
          <w:tcPr>
            <w:tcW w:type="dxa" w:w="7138"/>
            <w:tcBorders>
              <w:top w:val="single" w:color="D8CFC2" w:sz="4"/>
              <w:left w:val="single" w:color="D8CFC2" w:sz="4"/>
              <w:bottom w:val="single" w:color="D8CFC2" w:sz="4"/>
              <w:right w:val="single" w:color="D8CFC2" w:sz="4"/>
            </w:tcBorders>
            <w:shd w:fill="FAF7F1" w:color="auto" w:val="clear"/>
            <w:tcMar>
              <w:top w:type="dxa" w:w="70"/>
              <w:left w:type="dxa" w:w="110"/>
              <w:bottom w:type="dxa" w:w="70"/>
              <w:right w:type="dxa" w:w="110"/>
            </w:tcMar>
          </w:tcPr>
          <w:p>
            <w:pPr>
              <w:spacing w:after="40"/>
            </w:pPr>
          </w:p>
        </w:tc>
      </w:tr>
    </w:tbl>
    <w:p>
      <w:pPr>
        <w:spacing w:after="8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E63946" w:sz="24"/>
              <w:bottom w:val="none" w:color="FFFFFF" w:sz="0"/>
              <w:right w:val="none" w:color="FFFFFF" w:sz="0"/>
            </w:tcBorders>
            <w:shd w:fill="F4EFE4" w:color="auto" w:val="clear"/>
            <w:tcMar>
              <w:top w:type="dxa" w:w="160"/>
              <w:left w:type="dxa" w:w="240"/>
              <w:bottom w:type="dxa" w:w="140"/>
              <w:right w:type="dxa" w:w="200"/>
            </w:tcMar>
          </w:tcPr>
          <w:p>
            <w:pPr>
              <w:spacing w:after="80"/>
            </w:pPr>
            <w:r>
              <w:rPr>
                <w:b/>
                <w:bCs/>
                <w:color w:val="E63946"/>
                <w:sz w:val="22"/>
                <w:szCs w:val="22"/>
              </w:rPr>
              <w:t xml:space="preserve">About this template</w:t>
            </w:r>
          </w:p>
          <w:p>
            <w:pPr>
              <w:spacing w:after="60"/>
            </w:pPr>
            <w:r>
              <w:t xml:space="preserve">Prepared by Belton IT Nexus, October 2026 edition. Belton helps New Zealand and Australian businesses adopt AI safely, from Copilot readiness and permission clean-ups to staff training and AI agent builds.</w:t>
            </w:r>
          </w:p>
          <w:p>
            <w:pPr>
              <w:spacing w:after="60"/>
            </w:pPr>
            <w:r>
              <w:t xml:space="preserve">belton.co.nz  |  beltonitnexus.com.au  |  sales@belton.co.nz  |  09 974 2379</w:t>
            </w:r>
          </w:p>
          <w:p>
            <w:pPr>
              <w:spacing w:after="60"/>
            </w:pPr>
            <w:r>
              <w:t xml:space="preserve">This template is general information, not legal advice. Review it with a qualified adviser for your circumstances.</w:t>
            </w:r>
          </w:p>
        </w:tc>
      </w:tr>
    </w:tbl>
    <w:sectPr>
      <w:headerReference w:type="default" r:id="rId6"/>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645A"/>
        <w:sz w:val="16"/>
        <w:szCs w:val="16"/>
      </w:rPr>
      <w:t xml:space="preserve">Internal  |  Page </w:t>
    </w:r>
    <w:r>
      <w:rPr>
        <w:color w:val="6B645A"/>
        <w:sz w:val="16"/>
        <w:szCs w:val="16"/>
      </w:rPr>
      <w:fldChar w:fldCharType="begin"/>
      <w:instrText xml:space="preserve">PAGE</w:instrText>
      <w:fldChar w:fldCharType="separate"/>
      <w:fldChar w:fldCharType="end"/>
    </w:r>
    <w:r>
      <w:rPr>
        <w:color w:val="6B645A"/>
        <w:sz w:val="16"/>
        <w:szCs w:val="16"/>
      </w:rPr>
      <w:t xml:space="preserve"> of </w:t>
    </w:r>
    <w:r>
      <w:rPr>
        <w:color w:val="6B645A"/>
        <w:sz w:val="16"/>
        <w:szCs w:val="16"/>
      </w:rPr>
      <w:fldChar w:fldCharType="begin"/>
      <w:instrText xml:space="preserve">NUMPAGES</w:instrText>
      <w:fldChar w:fldCharType="separate"/>
      <w:fldChar w:fldCharType="end"/>
    </w:r>
    <w:r>
      <w:rPr>
        <w:color w:val="6B645A"/>
        <w:sz w:val="16"/>
        <w:szCs w:val="16"/>
      </w:rPr>
      <w:t xml:space="preserve">  |  Template: Belton IT Nexus, October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45A"/>
        <w:sz w:val="16"/>
        <w:szCs w:val="16"/>
      </w:rPr>
      <w:t xml:space="preserve">AI Acceptable Use and Governance Policy  |  </w:t>
    </w:r>
    <w:r>
      <w:rPr>
        <w:color w:val="6B645A"/>
        <w:sz w:val="16"/>
        <w:szCs w:val="16"/>
        <w:highlight w:val="yellow"/>
      </w:rPr>
      <w:t xml:space="preserve">[Company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abstractNum w:abstractNumId="3" w15:restartNumberingAfterBreak="0">
    <w:multiLevelType w:val="hybridMultilevel"/>
    <w:lvl w:ilvl="0" w15:tentative="1">
      <w:start w:val="1"/>
      <w:numFmt w:val="bullet"/>
      <w:lvlText w:val="•"/>
      <w:lvlJc w:val="left"/>
      <w:pPr>
        <w:ind w:left="1000" w:hanging="283"/>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5120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pBdr>
        <w:bottom w:val="single" w:color="E63946" w:sz="6" w:space="4"/>
      </w:pBdr>
      <w:spacing w:before="320" w:after="160"/>
      <w:outlineLvl w:val="0"/>
    </w:pPr>
    <w:rPr>
      <w:rFonts w:ascii="Calibri" w:cs="Calibri" w:eastAsia="Calibri" w:hAnsi="Calibri"/>
      <w:b/>
      <w:bCs/>
      <w:color w:val="8B1A1A"/>
      <w:sz w:val="30"/>
      <w:szCs w:val="30"/>
    </w:rPr>
  </w:style>
  <w:style w:type="paragraph" w:styleId="Heading2">
    <w:name w:val="Heading 2"/>
    <w:basedOn w:val="Normal"/>
    <w:next w:val="Normal"/>
    <w:qFormat/>
    <w:pPr>
      <w:spacing w:before="220" w:after="100"/>
      <w:outlineLvl w:val="1"/>
    </w:pPr>
    <w:rPr>
      <w:rFonts w:ascii="Calibri" w:cs="Calibri" w:eastAsia="Calibri" w:hAnsi="Calibri"/>
      <w:b/>
      <w:bCs/>
      <w:color w:val="15120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izbrvgodv_ua_pphq6crw" Type="http://schemas.openxmlformats.org/officeDocument/2006/relationships/hyperlink" Target="https://www.privacy.org.nz/resources-and-learning/a-z-topics/ai/generative-artificial-intelligence/" TargetMode="External"/><Relationship Id="rId8f5l27bqxkf-hcntax1o_" Type="http://schemas.openxmlformats.org/officeDocument/2006/relationships/hyperlink" Target="https://www.privacy.org.nz/resources-and-learning/a-z-topics/ipp3a/" TargetMode="External"/><Relationship Id="rIdqhjccsmwfzbzfsqvusgxy" Type="http://schemas.openxmlformats.org/officeDocument/2006/relationships/hyperlink" Target="https://www.privacy.org.nz/notifyus" TargetMode="External"/><Relationship Id="rIdmtovjwudqjkqau6baq_ak" Type="http://schemas.openxmlformats.org/officeDocument/2006/relationships/hyperlink" Target="https://www.privacy.org.nz/privacy-principles/codes-of-practice/biometric-processing-privacy-code" TargetMode="External"/><Relationship Id="rIdnk1npveocrf8neodxppbz" Type="http://schemas.openxmlformats.org/officeDocument/2006/relationships/hyperlink" Target="https://www.mbie.govt.nz/business-and-employment/business/support-for-business/responsible-ai-guidance-for-businesses" TargetMode="External"/><Relationship Id="rIdnetutphct8stmldmk_ew3" Type="http://schemas.openxmlformats.org/officeDocument/2006/relationships/hyperlink" Target="https://www.mbie.govt.nz/business-and-employment/economic-growth/digital-policy/new-zealands-ai-strategy-investing-with-confidence" TargetMode="External"/><Relationship Id="rIdal_iihcyid2-0tf3brgs5" Type="http://schemas.openxmlformats.org/officeDocument/2006/relationships/hyperlink" Target="https://www.ncsc.govt.nz/protect-your-organisation/careful-adoption-of-agentic-ai-services/" TargetMode="External"/><Relationship Id="rIdgjlolbwkuqhukzcj5b29r" Type="http://schemas.openxmlformats.org/officeDocument/2006/relationships/hyperlink" Target="https://www.ncsc.govt.nz/protect-your-organisation/ai-data-security/" TargetMode="External"/><Relationship Id="rIdmns6ergijl1hulj3wfdst" Type="http://schemas.openxmlformats.org/officeDocument/2006/relationships/hyperlink" Target="https://www.ncsc.govt.nz/report/" TargetMode="External"/><Relationship Id="rIdidxv_w8qulgkrgrixtgke" Type="http://schemas.openxmlformats.org/officeDocument/2006/relationships/hyperlink" Target="https://www.lawsociety.org.nz/professional-practice/rules-and-maintaining-professional-standards/generative-ai-guidance-for-lawyers/" TargetMode="External"/><Relationship Id="rIdgd75-ixhpgffybh-s3xfk" Type="http://schemas.openxmlformats.org/officeDocument/2006/relationships/hyperlink" Target="https://www.mcnz.org.nz/about-us/news-and-updates/guidance-on-using-artificial-intelligence-in-patient-care/" TargetMode="External"/><Relationship Id="rIdl5peqzdnfkm00iner0qbw" Type="http://schemas.openxmlformats.org/officeDocument/2006/relationships/hyperlink" Target="https://www.temanararaunga.maori.nz/principles-of-maori-data-sovereignty" TargetMode="External"/><Relationship Id="rId-mabpkxuf4z0f2_o6j7rd" Type="http://schemas.openxmlformats.org/officeDocument/2006/relationships/hyperlink" Target="https://www.oaic.gov.au/privacy/privacy-guidance-for-organisations-and-government-agencies/guidance-on-privacy-and-the-use-of-commercially-available-ai-products" TargetMode="External"/><Relationship Id="rIdoqpsb21izo6w85j-ve0p6" Type="http://schemas.openxmlformats.org/officeDocument/2006/relationships/hyperlink" Target="https://www.oaic.gov.au/news/media-centre/new-resources-on-transparency-for-use-of-ai-and-automated-decision-making" TargetMode="External"/><Relationship Id="rId5aczb7e-wvleqkyd3m3r6" Type="http://schemas.openxmlformats.org/officeDocument/2006/relationships/hyperlink" Target="https://www.industry.gov.au/publications/guidance-ai-adoption" TargetMode="External"/><Relationship Id="rIdcvcsixiaroxj8mhelon5i" Type="http://schemas.openxmlformats.org/officeDocument/2006/relationships/hyperlink" Target="https://learn.microsoft.com/en-us/copilot/microsoft-365/enterprise-data-protection" TargetMode="External"/><Relationship Id="rIdznivcihsyq25aticyf1p-" Type="http://schemas.openxmlformats.org/officeDocument/2006/relationships/hyperlink" Target="https://openai.com/enterprise-privacy/" TargetMode="External"/><Relationship Id="rIdtv_dkgm4_p5m_qcwop0en" Type="http://schemas.openxmlformats.org/officeDocument/2006/relationships/hyperlink" Target="https://www.anthropic.com/news/updates-to-our-consumer-terms" TargetMode="External"/><Relationship Id="rIddss8giq8lsyyedyhsbamf" Type="http://schemas.openxmlformats.org/officeDocument/2006/relationships/hyperlink" Target="https://knowledge.workspace.google.com/admin/generative-ai/generative-ai-in-google-workspace-privacy-hub" TargetMode="External"/><Relationship Id="rId_lrasf8lsm2ugjh8u9_rr" Type="http://schemas.openxmlformats.org/officeDocument/2006/relationships/hyperlink" Target="https://www.nist.gov/publications/artificial-intelligence-risk-management-framework-generative-artificial-intelligence" TargetMode="External"/><Relationship Id="rIdbyh6bwduasybpi7-xsevv" Type="http://schemas.openxmlformats.org/officeDocument/2006/relationships/hyperlink" Target="https://genai.owasp.org/llm-top-10/" TargetMode="External"/><Relationship Id="rIdobv21zgv3apyhc2wttrqy" Type="http://schemas.openxmlformats.org/officeDocument/2006/relationships/hyperlink" Target="https://www.iso.org/standard/42001" TargetMode="External"/><Relationship Id="rId3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and Governance Policy</dc:title>
  <dc:creator>Belton IT Nexus</dc:creator>
  <dc:description>Template, October 2026 edition</dc:description>
  <cp:lastModifiedBy>Un-named</cp:lastModifiedBy>
  <cp:revision>1</cp:revision>
  <dcterms:created xsi:type="dcterms:W3CDTF">2026-10-26T08:35:22.360Z</dcterms:created>
  <dcterms:modified xsi:type="dcterms:W3CDTF">2026-10-26T08:35:22.361Z</dcterms:modified>
</cp:coreProperties>
</file>

<file path=docProps/custom.xml><?xml version="1.0" encoding="utf-8"?>
<Properties xmlns="http://schemas.openxmlformats.org/officeDocument/2006/custom-properties" xmlns:vt="http://schemas.openxmlformats.org/officeDocument/2006/docPropsVTypes"/>
</file>